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Evaluatiefiche – Verslag labo 5: Black boxen: schakelingen achterhalen door redeneren</w:t>
      </w:r>
    </w:p>
    <w:p>
      <w:r>
        <w:rPr>
          <w:b w:val="0"/>
          <w:i w:val="0"/>
          <w:color w:val="555555"/>
          <w:sz w:val="18"/>
        </w:rPr>
        <w:t>Vak: Toegepaste fysica  •  Klas: 5BCW  •  Leerplan: III-BCSW-d (juni 2024)  •  Lesmateriaal: Labocursus Fysica 5BCW (leerlingenversie)</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Opdracht (groepswerk)</w:t>
            </w:r>
          </w:p>
        </w:tc>
        <w:tc>
          <w:tcPr>
            <w:tcW w:type="dxa" w:w="7257"/>
          </w:tcPr>
          <w:p>
            <w:pPr>
              <w:pStyle w:val="ListBullet"/>
            </w:pPr>
            <w:r>
              <w:rPr>
                <w:sz w:val="20"/>
              </w:rPr>
              <w:t>Maak het verslag in het Excel-verslagsjabloon van Smartschool ('nummer labo TF titel (namen) 5BCW') – geen eigen Word/Google-document.</w:t>
            </w:r>
          </w:p>
          <w:p>
            <w:pPr>
              <w:pStyle w:val="ListBullet"/>
            </w:pPr>
            <w:r>
              <w:rPr>
                <w:sz w:val="20"/>
              </w:rPr>
              <w:t>Inhoud volgens Bijlage A (checklist, p. 86): omschrijving, SMART-onderzoeksvraag, hypothese, schema/foto, tabel, berekeningen, grafiek, besluit + reflectievragen.</w:t>
            </w:r>
          </w:p>
        </w:tc>
      </w:tr>
      <w:tr>
        <w:tc>
          <w:tcPr>
            <w:tcW w:type="dxa" w:w="2381"/>
            <w:shd w:val="clear" w:color="auto" w:fill="D9E2F3"/>
          </w:tcPr>
          <w:p>
            <w:r>
              <w:rPr>
                <w:b/>
                <w:sz w:val="20"/>
              </w:rPr>
              <w:t>Product van dit labo</w:t>
            </w:r>
          </w:p>
        </w:tc>
        <w:tc>
          <w:tcPr>
            <w:tcW w:type="dxa" w:w="7257"/>
          </w:tcPr>
          <w:p>
            <w:r>
              <w:rPr>
                <w:sz w:val="20"/>
              </w:rPr>
              <w:t>volledige en verantwoorde redenering per box, correcte tabel, antwoorden op de reflectievragen.</w:t>
            </w:r>
          </w:p>
        </w:tc>
      </w:tr>
      <w:tr>
        <w:tc>
          <w:tcPr>
            <w:tcW w:type="dxa" w:w="2381"/>
            <w:shd w:val="clear" w:color="auto" w:fill="D9E2F3"/>
          </w:tcPr>
          <w:p>
            <w:r>
              <w:rPr>
                <w:b/>
                <w:sz w:val="20"/>
              </w:rPr>
              <w:t>Deadline en indienen</w:t>
            </w:r>
          </w:p>
        </w:tc>
        <w:tc>
          <w:tcPr>
            <w:tcW w:type="dxa" w:w="7257"/>
          </w:tcPr>
          <w:p>
            <w:r>
              <w:rPr>
                <w:sz w:val="20"/>
              </w:rPr>
              <w:t>Uiterlijk één week na het labo, 's avonds vóór de les van de volgende week om 23.59 u, in de uploadzone van Toegepaste fysica. Eén upload per groep, alle namen in bestandsnaam en kopblok. Te laat of niet in het juiste formaat: aftrek volgens de vakafspraken.</w:t>
            </w:r>
          </w:p>
        </w:tc>
      </w:tr>
      <w:tr>
        <w:tc>
          <w:tcPr>
            <w:tcW w:type="dxa" w:w="2381"/>
            <w:shd w:val="clear" w:color="auto" w:fill="D9E2F3"/>
          </w:tcPr>
          <w:p>
            <w:r>
              <w:rPr>
                <w:b/>
                <w:sz w:val="20"/>
              </w:rPr>
              <w:t>Hoe wordt dit geëvalueerd? (60 % van het practicumcijfer, groepspunt)</w:t>
            </w:r>
          </w:p>
        </w:tc>
        <w:tc>
          <w:tcPr>
            <w:tcW w:type="dxa" w:w="7257"/>
          </w:tcPr>
          <w:p>
            <w:pPr>
              <w:pStyle w:val="ListBullet"/>
            </w:pPr>
            <w:r>
              <w:rPr>
                <w:sz w:val="20"/>
              </w:rPr>
              <w:t>1. Verkennen &amp; onderzoeken (/2) – Omschrijving in eigen woorden, SMART-onderzoeksvraag, hypothese met redenering, correct schema/foto.</w:t>
            </w:r>
          </w:p>
          <w:p>
            <w:pPr>
              <w:pStyle w:val="ListBullet"/>
            </w:pPr>
            <w:r>
              <w:rPr>
                <w:sz w:val="20"/>
              </w:rPr>
              <w:t>2. Onderzoek uitvoeren (/3) – Volledige tabel met grootheden en eenheden, beduidende cijfers, Excel-formules, twee uitgewerkte voorbeeldberekeningen, correcte grafiek (punten, assen, trendlijn).</w:t>
            </w:r>
          </w:p>
          <w:p>
            <w:pPr>
              <w:pStyle w:val="ListBullet"/>
            </w:pPr>
            <w:r>
              <w:rPr>
                <w:sz w:val="20"/>
              </w:rPr>
              <w:t>3. Concluderen (/3) – Besluit beantwoordt de onderzoeksvraag en koppelt aan theorie; hypothese getoetst; foutenanalyse; reflectievragen in eigen woorden.</w:t>
            </w:r>
          </w:p>
          <w:p>
            <w:pPr>
              <w:pStyle w:val="ListBullet"/>
            </w:pPr>
            <w:r>
              <w:rPr>
                <w:sz w:val="20"/>
              </w:rPr>
              <w:t>4. Attitude (/2) – Sjabloon correct gebruikt, volledig, op tijd, verzorgd; feedback van vorige verslagen toegepast.</w:t>
            </w:r>
          </w:p>
          <w:p>
            <w:pPr>
              <w:pStyle w:val="ListBullet"/>
            </w:pPr>
            <w:r>
              <w:rPr>
                <w:sz w:val="20"/>
              </w:rPr>
              <w:t>Totaal /10. Feedback in het feedbackblok van het sjabloon (of als commentaar op de PDF). Herwerken één keer mogelijk voor labo 1-5.</w:t>
            </w:r>
          </w:p>
        </w:tc>
      </w:tr>
      <w:tr>
        <w:tc>
          <w:tcPr>
            <w:tcW w:type="dxa" w:w="2381"/>
            <w:shd w:val="clear" w:color="auto" w:fill="D9E2F3"/>
          </w:tcPr>
          <w:p>
            <w:r>
              <w:rPr>
                <w:b/>
                <w:sz w:val="20"/>
              </w:rPr>
              <w:t>Leerplandoelen</w:t>
            </w:r>
          </w:p>
        </w:tc>
        <w:tc>
          <w:tcPr>
            <w:tcW w:type="dxa" w:w="7257"/>
          </w:tcPr>
          <w:p>
            <w:pPr>
              <w:pStyle w:val="ListBullet"/>
            </w:pPr>
            <w:r>
              <w:rPr>
                <w:sz w:val="20"/>
              </w:rPr>
              <w:t>LPD K1: gelijkstroomkringen kwantificeren.</w:t>
            </w:r>
          </w:p>
          <w:p>
            <w:pPr>
              <w:pStyle w:val="ListBullet"/>
            </w:pPr>
            <w:r>
              <w:rPr>
                <w:sz w:val="20"/>
              </w:rPr>
              <w:t>LPD 4 S: probleemoplossend denken, interactie onderzoeken-ontwikkelen (modelleren van een onbekend systeem).</w:t>
            </w:r>
          </w:p>
          <w:p>
            <w:pPr>
              <w:pStyle w:val="ListBullet"/>
            </w:pPr>
            <w:r>
              <w:rPr>
                <w:sz w:val="20"/>
              </w:rPr>
              <w:t>LPD 1 S: hypothese opstellen en aftoetsen.</w:t>
            </w:r>
          </w:p>
        </w:tc>
      </w:tr>
      <w:tr>
        <w:tc>
          <w:tcPr>
            <w:tcW w:type="dxa" w:w="2381"/>
            <w:shd w:val="clear" w:color="auto" w:fill="D9E2F3"/>
          </w:tcPr>
          <w:p>
            <w:r>
              <w:rPr>
                <w:b/>
                <w:sz w:val="20"/>
              </w:rPr>
              <w:t>Lesdoelen die geëvalueerd worden</w:t>
            </w:r>
          </w:p>
        </w:tc>
        <w:tc>
          <w:tcPr>
            <w:tcW w:type="dxa" w:w="7257"/>
          </w:tcPr>
          <w:p>
            <w:pPr>
              <w:pStyle w:val="ListBullet"/>
            </w:pPr>
            <w:r>
              <w:rPr>
                <w:sz w:val="20"/>
              </w:rPr>
              <w:t>De leerling kan uit de gemeten substitutieweerstand en een gegeven schema de waarde van de identieke weerstanden in een black box afleiden.</w:t>
            </w:r>
          </w:p>
          <w:p>
            <w:pPr>
              <w:pStyle w:val="ListBullet"/>
            </w:pPr>
            <w:r>
              <w:rPr>
                <w:sz w:val="20"/>
              </w:rPr>
              <w:t>De leerling kan systematisch en gestructureerd redeneren en elke stap verantwoorden.</w:t>
            </w:r>
          </w:p>
          <w:p>
            <w:pPr>
              <w:pStyle w:val="ListBullet"/>
            </w:pPr>
            <w:r>
              <w:rPr>
                <w:sz w:val="20"/>
              </w:rPr>
              <w:t>De leerling kan voor een onbekende box een hypothese over de inwendige schakeling opstellen en toetsen (uitbreiding).</w:t>
            </w:r>
          </w:p>
        </w:tc>
      </w:tr>
      <w:tr>
        <w:tc>
          <w:tcPr>
            <w:tcW w:type="dxa" w:w="2381"/>
            <w:shd w:val="clear" w:color="auto" w:fill="D9E2F3"/>
          </w:tcPr>
          <w:p>
            <w:r>
              <w:rPr>
                <w:b/>
                <w:sz w:val="20"/>
              </w:rPr>
              <w:t>Hulp</w:t>
            </w:r>
          </w:p>
        </w:tc>
        <w:tc>
          <w:tcPr>
            <w:tcW w:type="dxa" w:w="7257"/>
          </w:tcPr>
          <w:p>
            <w:r>
              <w:rPr>
                <w:sz w:val="20"/>
              </w:rPr>
              <w:t>Screencast Excel-sjabloon op Smartschool; Bijlage A (p. 86) en B (p. 86); afspraken groepswerk en OneDrive: cursus 1.4. Vragen via Smartschool-bericht of tijdens de les.</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Evaluatiefiche verslag labo 5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