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Ingevulde werkbladen labo 6: Circuitpracticum elektromagnetisme: 7 delen</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Dien de ingevulde werkbladen van labo 6 (delen 1-8: hypothese, waarneming, foto/schets, conclusie; maatschappelijke reflectie) als één PDF in via de Smartschool-uploadzone. Geen Excel-verslag voor dit labo.</w:t>
            </w:r>
          </w:p>
          <w:p>
            <w:pPr>
              <w:pStyle w:val="ListBullet"/>
            </w:pPr>
            <w:r>
              <w:rPr>
                <w:sz w:val="20"/>
              </w:rPr>
              <w:t>Reflectievragen beantwoord op het werkblad (in eigen woorden; internet enkel waar vermeld, geen AI).</w:t>
            </w:r>
          </w:p>
        </w:tc>
      </w:tr>
      <w:tr>
        <w:tc>
          <w:tcPr>
            <w:tcW w:type="dxa" w:w="2381"/>
            <w:shd w:val="clear" w:color="auto" w:fill="D9E2F3"/>
          </w:tcPr>
          <w:p>
            <w:r>
              <w:rPr>
                <w:b/>
                <w:sz w:val="20"/>
              </w:rPr>
              <w:t>Product van dit labo</w:t>
            </w:r>
          </w:p>
        </w:tc>
        <w:tc>
          <w:tcPr>
            <w:tcW w:type="dxa" w:w="7257"/>
          </w:tcPr>
          <w:p>
            <w:r>
              <w:rPr>
                <w:sz w:val="20"/>
              </w:rPr>
              <w:t>per deel: hypothese, waarneming, foto/schets en conclusie; tekeningen van de veldlijnenpatronen; schema van bel en relais; maatschappelijke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Volledigheid (/2) – Alle delen ingevuld: hypothese vóór elke proef, waarneming, verklaring/schets, foto's waar gevraagd.</w:t>
            </w:r>
          </w:p>
          <w:p>
            <w:pPr>
              <w:pStyle w:val="ListBullet"/>
            </w:pPr>
            <w:r>
              <w:rPr>
                <w:sz w:val="20"/>
              </w:rPr>
              <w:t>2. Kwaliteit waarnemingen en schetsen (/3) – Nauwkeurig, met correcte ladings- of veldlijnenschetsen/schema's en eenheden.</w:t>
            </w:r>
          </w:p>
          <w:p>
            <w:pPr>
              <w:pStyle w:val="ListBullet"/>
            </w:pPr>
            <w:r>
              <w:rPr>
                <w:sz w:val="20"/>
              </w:rPr>
              <w:t>3. Verklaringen en reflectie (/3) – Fysisch correcte verklaringen met het juiste model; reflectievragen beantwoord in eigen woorden; besluit per deel.</w:t>
            </w:r>
          </w:p>
          <w:p>
            <w:pPr>
              <w:pStyle w:val="ListBullet"/>
            </w:pPr>
            <w:r>
              <w:rPr>
                <w:sz w:val="20"/>
              </w:rPr>
              <w:t>4. Attitude (/2) – Leesbaar, als één PDF, op tijd, namen vermeld; STEM-ontwerpopdracht uitgewerkt.</w:t>
            </w:r>
          </w:p>
          <w:p>
            <w:pPr>
              <w:pStyle w:val="ListBullet"/>
            </w:pPr>
            <w:r>
              <w:rPr>
                <w:sz w:val="20"/>
              </w:rPr>
              <w:t>Totaal /10. Feedback in het feedbackblok van het sjabloon (of als commentaar op de PDF). Herwerken één keer mogelijk voor labo 1-5.</w:t>
            </w:r>
          </w:p>
          <w:p>
            <w:pPr>
              <w:pStyle w:val="ListBullet"/>
            </w:pPr>
            <w:r>
              <w:rPr>
                <w:sz w:val="20"/>
              </w:rPr>
              <w:t>Peer-evaluatie: het groepspunt wordt vermenigvuldigd met je peerfactor (Bijlage D).</w:t>
            </w:r>
          </w:p>
        </w:tc>
      </w:tr>
      <w:tr>
        <w:tc>
          <w:tcPr>
            <w:tcW w:type="dxa" w:w="2381"/>
            <w:shd w:val="clear" w:color="auto" w:fill="D9E2F3"/>
          </w:tcPr>
          <w:p>
            <w:r>
              <w:rPr>
                <w:b/>
                <w:sz w:val="20"/>
              </w:rPr>
              <w:t>Leerplandoelen</w:t>
            </w:r>
          </w:p>
        </w:tc>
        <w:tc>
          <w:tcPr>
            <w:tcW w:type="dxa" w:w="7257"/>
          </w:tcPr>
          <w:p>
            <w:pPr>
              <w:pStyle w:val="ListBullet"/>
            </w:pPr>
            <w:r>
              <w:rPr>
                <w:sz w:val="20"/>
              </w:rPr>
              <w:t>LPD 5 F: magnetische krachtwerking, magnetische influentie, veldlijnenpatronen bij permanente magneten, rechte geleider en spoel.</w:t>
            </w:r>
          </w:p>
          <w:p>
            <w:pPr>
              <w:pStyle w:val="ListBullet"/>
            </w:pPr>
            <w:r>
              <w:rPr>
                <w:sz w:val="20"/>
              </w:rPr>
              <w:t>LPD 6 F: magnetische kracht op een stroomvoerende geleider (richting).</w:t>
            </w:r>
          </w:p>
          <w:p>
            <w:pPr>
              <w:pStyle w:val="ListBullet"/>
            </w:pPr>
            <w:r>
              <w:rPr>
                <w:sz w:val="20"/>
              </w:rPr>
              <w:t>LPD 1 S, 3 S, 5 S.</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magnetische en niet-magnetische materialen onderscheiden en ferromagnetisme verklaren met het model van de elementaire magneetjes (weissgebieden – zie uitleg bij deel 1).</w:t>
            </w:r>
          </w:p>
          <w:p>
            <w:pPr>
              <w:pStyle w:val="ListBullet"/>
            </w:pPr>
            <w:r>
              <w:rPr>
                <w:sz w:val="20"/>
              </w:rPr>
              <w:t>De leerling kan het veldlijnenpatroon van een staafmagneet, een U-magneet, een rechte geleider en een spoel visualiseren, tekenen en de zin bepalen met een kompas (rechterhandregel).</w:t>
            </w:r>
          </w:p>
          <w:p>
            <w:pPr>
              <w:pStyle w:val="ListBullet"/>
            </w:pPr>
            <w:r>
              <w:rPr>
                <w:sz w:val="20"/>
              </w:rPr>
              <w:t>De leerling kan een elektromagneet bouwen en de invloed van stroomsterkte en kernmateriaal onderzoeken; magnetische influentie en remanentie herkennen.</w:t>
            </w:r>
          </w:p>
          <w:p>
            <w:pPr>
              <w:pStyle w:val="ListBullet"/>
            </w:pPr>
            <w:r>
              <w:rPr>
                <w:sz w:val="20"/>
              </w:rPr>
              <w:t>De leerling kan de werking van een elektrische bel en een relais uitleggen aan de hand van een schema.</w:t>
            </w:r>
          </w:p>
          <w:p>
            <w:pPr>
              <w:pStyle w:val="ListBullet"/>
            </w:pPr>
            <w:r>
              <w:rPr>
                <w:sz w:val="20"/>
              </w:rPr>
              <w:t>De leerling kan de richting van de Lorentzkracht op een stroomvoerende geleider experimenteel bepalen en koppelen aan de linkerhandregel.</w:t>
            </w:r>
          </w:p>
          <w:p>
            <w:pPr>
              <w:pStyle w:val="ListBullet"/>
            </w:pPr>
            <w:r>
              <w:rPr>
                <w:sz w:val="20"/>
              </w:rPr>
              <w:t>De leerling kan voor elke proef zelf een hypothese formuleren en toetsen; waarnemingen documenteren met foto's.</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6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