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Evaluatiefiche – Ingevulde werkbladen labo 8: Elektromagnetische krachtwerking in toepassingen</w:t>
      </w:r>
    </w:p>
    <w:p>
      <w:r>
        <w:rPr>
          <w:b w:val="0"/>
          <w:i w:val="0"/>
          <w:color w:val="555555"/>
          <w:sz w:val="18"/>
        </w:rPr>
        <w:t>Vak: Toegepaste fysica  •  Klas: 5BCW  •  Leerplan: III-BCSW-d (juni 2024)  •  Lesmateriaal: Labocursus Fysica 5BCW (leerlingenversie)</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tcPr>
          <w:p>
            <w:r>
              <w:rPr>
                <w:b/>
                <w:sz w:val="20"/>
              </w:rPr>
              <w:t>Opdracht (groepswerk)</w:t>
            </w:r>
          </w:p>
        </w:tc>
        <w:tc>
          <w:tcPr>
            <w:tcW w:type="dxa" w:w="7257"/>
          </w:tcPr>
          <w:p>
            <w:pPr>
              <w:pStyle w:val="ListBullet"/>
            </w:pPr>
            <w:r>
              <w:rPr>
                <w:sz w:val="20"/>
              </w:rPr>
              <w:t>Dien de ingevulde werkbladen van labo 8 (uitleg + schema motor en luidspreker met bron, waarnemingen lintgeleiders met schetsen, ontwerp en foto homopolaire motor) als één PDF in via de Smartschool-uploadzone. Geen Excel-verslag voor dit labo.</w:t>
            </w:r>
          </w:p>
          <w:p>
            <w:pPr>
              <w:pStyle w:val="ListBullet"/>
            </w:pPr>
            <w:r>
              <w:rPr>
                <w:sz w:val="20"/>
              </w:rPr>
              <w:t>Reflectievragen beantwoord op het werkblad (in eigen woorden; internet enkel waar vermeld, geen AI).</w:t>
            </w:r>
          </w:p>
        </w:tc>
      </w:tr>
      <w:tr>
        <w:tc>
          <w:tcPr>
            <w:tcW w:type="dxa" w:w="2381"/>
            <w:shd w:val="clear" w:color="auto" w:fill="D9E2F3"/>
          </w:tcPr>
          <w:p>
            <w:r>
              <w:rPr>
                <w:b/>
                <w:sz w:val="20"/>
              </w:rPr>
              <w:t>Product van dit labo</w:t>
            </w:r>
          </w:p>
        </w:tc>
        <w:tc>
          <w:tcPr>
            <w:tcW w:type="dxa" w:w="7257"/>
          </w:tcPr>
          <w:p>
            <w:r>
              <w:rPr>
                <w:sz w:val="20"/>
              </w:rPr>
              <w:t>eigen uitleg met schema's van motor en luidspreker (bronvermelding!), waarnemingen en verklaringen van proeven 3-4 met schetsen, reflectie.</w:t>
            </w:r>
          </w:p>
        </w:tc>
      </w:tr>
      <w:tr>
        <w:tc>
          <w:tcPr>
            <w:tcW w:type="dxa" w:w="2381"/>
            <w:shd w:val="clear" w:color="auto" w:fill="D9E2F3"/>
          </w:tcPr>
          <w:p>
            <w:r>
              <w:rPr>
                <w:b/>
                <w:sz w:val="20"/>
              </w:rPr>
              <w:t>Deadline en indienen</w:t>
            </w:r>
          </w:p>
        </w:tc>
        <w:tc>
          <w:tcPr>
            <w:tcW w:type="dxa" w:w="7257"/>
          </w:tcPr>
          <w:p>
            <w:r>
              <w:rPr>
                <w:sz w:val="20"/>
              </w:rPr>
              <w:t>Uiterlijk één week na het labo, 's avonds vóór de les van de volgende week om 23.59 u, in de uploadzone van Toegepaste fysica. Eén upload per groep, alle namen in bestandsnaam en kopblok. Te laat of niet in het juiste formaat: aftrek volgens de vakafspraken.</w:t>
            </w:r>
          </w:p>
        </w:tc>
      </w:tr>
      <w:tr>
        <w:tc>
          <w:tcPr>
            <w:tcW w:type="dxa" w:w="2381"/>
            <w:shd w:val="clear" w:color="auto" w:fill="D9E2F3"/>
          </w:tcPr>
          <w:p>
            <w:r>
              <w:rPr>
                <w:b/>
                <w:sz w:val="20"/>
              </w:rPr>
              <w:t>Hoe wordt dit geëvalueerd? (60 % van het practicumcijfer, groepspunt)</w:t>
            </w:r>
          </w:p>
        </w:tc>
        <w:tc>
          <w:tcPr>
            <w:tcW w:type="dxa" w:w="7257"/>
          </w:tcPr>
          <w:p>
            <w:pPr>
              <w:pStyle w:val="ListBullet"/>
            </w:pPr>
            <w:r>
              <w:rPr>
                <w:sz w:val="20"/>
              </w:rPr>
              <w:t>1. Volledigheid (/2) – Alle delen ingevuld: hypothese vóór elke proef, waarneming, verklaring/schets, foto's waar gevraagd.</w:t>
            </w:r>
          </w:p>
          <w:p>
            <w:pPr>
              <w:pStyle w:val="ListBullet"/>
            </w:pPr>
            <w:r>
              <w:rPr>
                <w:sz w:val="20"/>
              </w:rPr>
              <w:t>2. Kwaliteit waarnemingen en schetsen (/3) – Nauwkeurig, met correcte ladings- of veldlijnenschetsen/schema's en eenheden.</w:t>
            </w:r>
          </w:p>
          <w:p>
            <w:pPr>
              <w:pStyle w:val="ListBullet"/>
            </w:pPr>
            <w:r>
              <w:rPr>
                <w:sz w:val="20"/>
              </w:rPr>
              <w:t>3. Verklaringen en reflectie (/3) – Fysisch correcte verklaringen met het juiste model; reflectievragen beantwoord in eigen woorden; besluit per deel.</w:t>
            </w:r>
          </w:p>
          <w:p>
            <w:pPr>
              <w:pStyle w:val="ListBullet"/>
            </w:pPr>
            <w:r>
              <w:rPr>
                <w:sz w:val="20"/>
              </w:rPr>
              <w:t>4. Attitude (/2) – Leesbaar, als één PDF, op tijd, namen vermeld; STEM-ontwerpopdracht uitgewerkt.</w:t>
            </w:r>
          </w:p>
          <w:p>
            <w:pPr>
              <w:pStyle w:val="ListBullet"/>
            </w:pPr>
            <w:r>
              <w:rPr>
                <w:sz w:val="20"/>
              </w:rPr>
              <w:t>Totaal /10. Feedback in het feedbackblok van het sjabloon (of als commentaar op de PDF). Herwerken één keer mogelijk voor labo 1-5.</w:t>
            </w:r>
          </w:p>
        </w:tc>
      </w:tr>
      <w:tr>
        <w:tc>
          <w:tcPr>
            <w:tcW w:type="dxa" w:w="2381"/>
            <w:shd w:val="clear" w:color="auto" w:fill="D9E2F3"/>
          </w:tcPr>
          <w:p>
            <w:r>
              <w:rPr>
                <w:b/>
                <w:sz w:val="20"/>
              </w:rPr>
              <w:t>Leerplandoelen</w:t>
            </w:r>
          </w:p>
        </w:tc>
        <w:tc>
          <w:tcPr>
            <w:tcW w:type="dxa" w:w="7257"/>
          </w:tcPr>
          <w:p>
            <w:pPr>
              <w:pStyle w:val="ListBullet"/>
            </w:pPr>
            <w:r>
              <w:rPr>
                <w:sz w:val="20"/>
              </w:rPr>
              <w:t>LPD 6 F (extra): principiële werking van een gelijkstroommotor; toepassing luidspreker.</w:t>
            </w:r>
          </w:p>
          <w:p>
            <w:pPr>
              <w:pStyle w:val="ListBullet"/>
            </w:pPr>
            <w:r>
              <w:rPr>
                <w:sz w:val="20"/>
              </w:rPr>
              <w:t>LPD 5 F: magnetisch veld rond een rechte geleider.</w:t>
            </w:r>
          </w:p>
          <w:p>
            <w:pPr>
              <w:pStyle w:val="ListBullet"/>
            </w:pPr>
            <w:r>
              <w:rPr>
                <w:sz w:val="20"/>
              </w:rPr>
              <w:t>LPD 4 S, 5 S: technische systemen analyseren, link met maatschappij.</w:t>
            </w:r>
          </w:p>
        </w:tc>
      </w:tr>
      <w:tr>
        <w:tc>
          <w:tcPr>
            <w:tcW w:type="dxa" w:w="2381"/>
            <w:shd w:val="clear" w:color="auto" w:fill="D9E2F3"/>
          </w:tcPr>
          <w:p>
            <w:r>
              <w:rPr>
                <w:b/>
                <w:sz w:val="20"/>
              </w:rPr>
              <w:t>Lesdoelen die geëvalueerd worden</w:t>
            </w:r>
          </w:p>
        </w:tc>
        <w:tc>
          <w:tcPr>
            <w:tcW w:type="dxa" w:w="7257"/>
          </w:tcPr>
          <w:p>
            <w:pPr>
              <w:pStyle w:val="ListBullet"/>
            </w:pPr>
            <w:r>
              <w:rPr>
                <w:sz w:val="20"/>
              </w:rPr>
              <w:t>De leerling kan de principiële werking van een gelijkstroommotor en een luidspreker uitleggen in eigen woorden, met schema, vanuit de Lorentzkracht.</w:t>
            </w:r>
          </w:p>
          <w:p>
            <w:pPr>
              <w:pStyle w:val="ListBullet"/>
            </w:pPr>
            <w:r>
              <w:rPr>
                <w:sz w:val="20"/>
              </w:rPr>
              <w:t>De leerling kan experimenteel vaststellen dat twee evenwijdige stroomvoerende geleiders elkaar aantrekken (gelijke zin) of afstoten (tegengestelde zin) en dit verklaren.</w:t>
            </w:r>
          </w:p>
          <w:p>
            <w:pPr>
              <w:pStyle w:val="ListBullet"/>
            </w:pPr>
            <w:r>
              <w:rPr>
                <w:sz w:val="20"/>
              </w:rPr>
              <w:t>De leerling kan betrouwbare informatie opzoeken (applet, bron vermelden) en koppelen aan eigen waarnemingen.</w:t>
            </w:r>
          </w:p>
        </w:tc>
      </w:tr>
      <w:tr>
        <w:tc>
          <w:tcPr>
            <w:tcW w:type="dxa" w:w="2381"/>
            <w:shd w:val="clear" w:color="auto" w:fill="D9E2F3"/>
          </w:tcPr>
          <w:p>
            <w:r>
              <w:rPr>
                <w:b/>
                <w:sz w:val="20"/>
              </w:rPr>
              <w:t>Hulp</w:t>
            </w:r>
          </w:p>
        </w:tc>
        <w:tc>
          <w:tcPr>
            <w:tcW w:type="dxa" w:w="7257"/>
          </w:tcPr>
          <w:p>
            <w:r>
              <w:rPr>
                <w:sz w:val="20"/>
              </w:rPr>
              <w:t>Screencast Excel-sjabloon op Smartschool; Bijlage A (p. 86) en B (p. 86); afspraken groepswerk en OneDrive: cursus 1.4. Vragen via Smartschool-bericht of tijdens de les.</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Evaluatiefiche verslag labo 8 – Toegepaste fysica 5BCW – HAST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