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Verslag labo 9: Elektromagnetische inductie: fluxverandering als oorzaak van spanning</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Maak het verslag in het Excel-verslagsjabloon van Smartschool ('nummer labo TF titel (namen) 5BCW') – geen eigen Word/Google-document.</w:t>
            </w:r>
          </w:p>
          <w:p>
            <w:pPr>
              <w:pStyle w:val="ListBullet"/>
            </w:pPr>
            <w:r>
              <w:rPr>
                <w:sz w:val="20"/>
              </w:rPr>
              <w:t>Voeg voor proef 3-4 een Word/PDF toe met alle Capstone-schermafbeeldingen, elk met titel en uitleg (Faraday/Lenz).</w:t>
            </w:r>
          </w:p>
          <w:p>
            <w:pPr>
              <w:pStyle w:val="ListBullet"/>
            </w:pPr>
            <w:r>
              <w:rPr>
                <w:sz w:val="20"/>
              </w:rPr>
              <w:t>Inhoud volgens Bijlage A (checklist, p. 86): omschrijving, SMART-onderzoeksvraag, hypothese, schema/foto, tabel, berekeningen, grafiek, besluit + reflectievragen.</w:t>
            </w:r>
          </w:p>
        </w:tc>
      </w:tr>
      <w:tr>
        <w:tc>
          <w:tcPr>
            <w:tcW w:type="dxa" w:w="2381"/>
            <w:shd w:val="clear" w:color="auto" w:fill="D9E2F3"/>
          </w:tcPr>
          <w:p>
            <w:r>
              <w:rPr>
                <w:b/>
                <w:sz w:val="20"/>
              </w:rPr>
              <w:t>Product van dit labo</w:t>
            </w:r>
          </w:p>
        </w:tc>
        <w:tc>
          <w:tcPr>
            <w:tcW w:type="dxa" w:w="7257"/>
          </w:tcPr>
          <w:p>
            <w:r>
              <w:rPr>
                <w:sz w:val="20"/>
              </w:rPr>
              <w:t>volledige waarnemingstabellen met verklaringen, schermafbeeldingen met uitleg (duidelijke titels, pieken benoemd), antwoord op de onderzoeksvraag met Faraday en Lenz, vergelijking meettoestellen, toepassing.</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Verkennen &amp; onderzoeken (/2) – Omschrijving in eigen woorden, SMART-onderzoeksvraag, hypothese met redenering, correct schema/foto.</w:t>
            </w:r>
          </w:p>
          <w:p>
            <w:pPr>
              <w:pStyle w:val="ListBullet"/>
            </w:pPr>
            <w:r>
              <w:rPr>
                <w:sz w:val="20"/>
              </w:rPr>
              <w:t>2. Onderzoek uitvoeren (/3) – Volledige tabel met grootheden en eenheden, beduidende cijfers, Excel-formules, twee uitgewerkte voorbeeldberekeningen, correcte grafiek (punten, assen, trendlijn).</w:t>
            </w:r>
          </w:p>
          <w:p>
            <w:pPr>
              <w:pStyle w:val="ListBullet"/>
            </w:pPr>
            <w:r>
              <w:rPr>
                <w:sz w:val="20"/>
              </w:rPr>
              <w:t>3. Concluderen (/3) – Besluit beantwoordt de onderzoeksvraag en koppelt aan theorie; hypothese getoetst; foutenanalyse; reflectievragen in eigen woorden.</w:t>
            </w:r>
          </w:p>
          <w:p>
            <w:pPr>
              <w:pStyle w:val="ListBullet"/>
            </w:pPr>
            <w:r>
              <w:rPr>
                <w:sz w:val="20"/>
              </w:rPr>
              <w:t>4. Attitude (/2) – Sjabloon correct gebruikt, volledig, op tijd, verzorgd; feedback van vorige verslagen toegepast.</w:t>
            </w:r>
          </w:p>
          <w:p>
            <w:pPr>
              <w:pStyle w:val="ListBullet"/>
            </w:pPr>
            <w:r>
              <w:rPr>
                <w:sz w:val="20"/>
              </w:rPr>
              <w:t>Totaal /10. Feedback in het feedbackblok van het sjabloon (of als commentaar op de PDF). Herwerken één keer mogelijk voor labo 1-5.</w:t>
            </w:r>
          </w:p>
          <w:p>
            <w:pPr>
              <w:pStyle w:val="ListBullet"/>
            </w:pPr>
            <w:r>
              <w:rPr>
                <w:sz w:val="20"/>
              </w:rPr>
              <w:t>Peer-evaluatie: het groepspunt wordt vermenigvuldigd met je peerfactor (Bijlage D).</w:t>
            </w:r>
          </w:p>
        </w:tc>
      </w:tr>
      <w:tr>
        <w:tc>
          <w:tcPr>
            <w:tcW w:type="dxa" w:w="2381"/>
            <w:shd w:val="clear" w:color="auto" w:fill="D9E2F3"/>
          </w:tcPr>
          <w:p>
            <w:r>
              <w:rPr>
                <w:b/>
                <w:sz w:val="20"/>
              </w:rPr>
              <w:t>Leerplandoelen</w:t>
            </w:r>
          </w:p>
        </w:tc>
        <w:tc>
          <w:tcPr>
            <w:tcW w:type="dxa" w:w="7257"/>
          </w:tcPr>
          <w:p>
            <w:pPr>
              <w:pStyle w:val="ListBullet"/>
            </w:pPr>
            <w:r>
              <w:rPr>
                <w:sz w:val="20"/>
              </w:rPr>
              <w:t>LPD 7 F: elektromagnetische inductie analyseren en kwantificeren; wet van Faraday en Lenz; opwekken van wisselspanning.</w:t>
            </w:r>
          </w:p>
          <w:p>
            <w:pPr>
              <w:pStyle w:val="ListBullet"/>
            </w:pPr>
            <w:r>
              <w:rPr>
                <w:sz w:val="20"/>
              </w:rPr>
              <w:t>LPD 1 S, 3 S: onderzoek met sensoren, ICT-verwerking. LPD 5 S: toepassingen.</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aantonen dat een spanning geïnduceerd wordt in een spoel enkel wanneer de magnetische flux door de spoel verandert.</w:t>
            </w:r>
          </w:p>
          <w:p>
            <w:pPr>
              <w:pStyle w:val="ListBullet"/>
            </w:pPr>
            <w:r>
              <w:rPr>
                <w:sz w:val="20"/>
              </w:rPr>
              <w:t>De leerling kan de invloed van snelheid van de beweging, sterkte van de magneet, aantal windingen en zin van de beweging/polariteit op de inductiespanning onderzoeken en koppelen aan de wet van Faraday en de wet van Lenz.</w:t>
            </w:r>
          </w:p>
          <w:p>
            <w:pPr>
              <w:pStyle w:val="ListBullet"/>
            </w:pPr>
            <w:r>
              <w:rPr>
                <w:sz w:val="20"/>
              </w:rPr>
              <w:t>De leerling kan inductie opwekken met een elektromagneet die in- en uitgeschakeld wordt (flux verandert zonder beweging).</w:t>
            </w:r>
          </w:p>
          <w:p>
            <w:pPr>
              <w:pStyle w:val="ListBullet"/>
            </w:pPr>
            <w:r>
              <w:rPr>
                <w:sz w:val="20"/>
              </w:rPr>
              <w:t>De leerling kan een Pasco Voltage Sensor en Capstone correct gebruiken om snelle spanningspieken te registreren, en schermafbeeldingen correct interpreteren en annoteren.</w:t>
            </w:r>
          </w:p>
          <w:p>
            <w:pPr>
              <w:pStyle w:val="ListBullet"/>
            </w:pPr>
            <w:r>
              <w:rPr>
                <w:sz w:val="20"/>
              </w:rPr>
              <w:t>De leerling kan toepassingen van inductie (generator, dynamo, inductiekookplaat, detectielus, draadloos laden) verklaren.</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9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