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D4C03" w14:textId="74349447" w:rsidR="00920509" w:rsidRDefault="00F93C74">
      <w:r>
        <w:t>For our analysis w</w:t>
      </w:r>
      <w:r w:rsidR="00172807">
        <w:t xml:space="preserve">e specifically focused on the difference between ribose and glucose growth medium for the WCFS1 </w:t>
      </w:r>
      <w:proofErr w:type="spellStart"/>
      <w:proofErr w:type="gramStart"/>
      <w:r w:rsidR="00172807" w:rsidRPr="00172807">
        <w:rPr>
          <w:i/>
        </w:rPr>
        <w:t>L.</w:t>
      </w:r>
      <w:r w:rsidR="00DE6C99">
        <w:rPr>
          <w:i/>
        </w:rPr>
        <w:t>p</w:t>
      </w:r>
      <w:r w:rsidR="00172807" w:rsidRPr="00172807">
        <w:rPr>
          <w:i/>
        </w:rPr>
        <w:t>lantarum</w:t>
      </w:r>
      <w:proofErr w:type="spellEnd"/>
      <w:proofErr w:type="gramEnd"/>
      <w:r w:rsidR="00172807">
        <w:t xml:space="preserve"> strain</w:t>
      </w:r>
      <w:r>
        <w:t xml:space="preserve">. </w:t>
      </w:r>
      <w:r w:rsidR="00E9159E">
        <w:t>Genes that showed statistically significant differential expression were mapped to their pathways and then we performed an enrichment analysis on these pathways</w:t>
      </w:r>
      <w:r w:rsidR="00C345EF">
        <w:t xml:space="preserve"> (</w:t>
      </w:r>
      <w:r w:rsidR="00C345EF">
        <w:rPr>
          <w:b/>
        </w:rPr>
        <w:t>figure 1)</w:t>
      </w:r>
      <w:r w:rsidR="00C345EF">
        <w:t>.</w:t>
      </w:r>
      <w:r w:rsidR="00E9159E">
        <w:t xml:space="preserve"> </w:t>
      </w:r>
    </w:p>
    <w:p w14:paraId="2972D86C" w14:textId="77777777" w:rsidR="00DD7C47" w:rsidRDefault="00DD7C47" w:rsidP="00DD7C47">
      <w:pPr>
        <w:keepNext/>
      </w:pPr>
      <w:r w:rsidRPr="00DD7C47">
        <w:drawing>
          <wp:inline distT="0" distB="0" distL="0" distR="0" wp14:anchorId="30EA858B" wp14:editId="7E04EABA">
            <wp:extent cx="5943600" cy="3221990"/>
            <wp:effectExtent l="133350" t="133350" r="133350" b="130810"/>
            <wp:docPr id="6" name="Afbeelding 5">
              <a:extLst xmlns:a="http://schemas.openxmlformats.org/drawingml/2006/main">
                <a:ext uri="{FF2B5EF4-FFF2-40B4-BE49-F238E27FC236}">
                  <a16:creationId xmlns:a16="http://schemas.microsoft.com/office/drawing/2014/main" id="{B65568BF-3A30-4EA2-ABAD-2B4A9471B6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a:extLst>
                        <a:ext uri="{FF2B5EF4-FFF2-40B4-BE49-F238E27FC236}">
                          <a16:creationId xmlns:a16="http://schemas.microsoft.com/office/drawing/2014/main" id="{B65568BF-3A30-4EA2-ABAD-2B4A9471B62B}"/>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221990"/>
                    </a:xfrm>
                    <a:prstGeom prst="rect">
                      <a:avLst/>
                    </a:prstGeom>
                    <a:ln w="127000">
                      <a:gradFill>
                        <a:gsLst>
                          <a:gs pos="50000">
                            <a:srgbClr val="00B0F0"/>
                          </a:gs>
                          <a:gs pos="0">
                            <a:schemeClr val="accent1">
                              <a:lumMod val="5000"/>
                              <a:lumOff val="95000"/>
                            </a:schemeClr>
                          </a:gs>
                          <a:gs pos="100000">
                            <a:schemeClr val="bg1"/>
                          </a:gs>
                        </a:gsLst>
                        <a:lin ang="5400000" scaled="1"/>
                      </a:gradFill>
                    </a:ln>
                  </pic:spPr>
                </pic:pic>
              </a:graphicData>
            </a:graphic>
          </wp:inline>
        </w:drawing>
      </w:r>
    </w:p>
    <w:p w14:paraId="15B74A27" w14:textId="66831236" w:rsidR="00DD7C47" w:rsidRDefault="00DD7C47" w:rsidP="00E87A40">
      <w:pPr>
        <w:pStyle w:val="Caption"/>
      </w:pPr>
      <w:r>
        <w:t xml:space="preserve">Figure </w:t>
      </w:r>
      <w:r>
        <w:fldChar w:fldCharType="begin"/>
      </w:r>
      <w:r>
        <w:instrText xml:space="preserve"> SEQ Figure \* ARABIC </w:instrText>
      </w:r>
      <w:r>
        <w:fldChar w:fldCharType="separate"/>
      </w:r>
      <w:r w:rsidR="00B0014B">
        <w:rPr>
          <w:noProof/>
        </w:rPr>
        <w:t>1</w:t>
      </w:r>
      <w:r>
        <w:fldChar w:fldCharType="end"/>
      </w:r>
      <w:r>
        <w:t>: KEGG pathway enrichment plot</w:t>
      </w:r>
      <w:r w:rsidR="00F34E34">
        <w:t xml:space="preserve"> for WCFS1 grown on ribose compared to glucose</w:t>
      </w:r>
      <w:r>
        <w:t xml:space="preserve">, x-axis indicates the overall fold change for the pathway and the pathway is </w:t>
      </w:r>
      <w:r w:rsidR="00270D5F">
        <w:t>named</w:t>
      </w:r>
      <w:r>
        <w:t xml:space="preserve"> along the y-axis. The graph shape indicates the distribution of gene fold changes in the pathway.</w:t>
      </w:r>
      <w:r w:rsidR="003F35B1">
        <w:t xml:space="preserve"> Note that there </w:t>
      </w:r>
      <w:r w:rsidR="00AB77A9">
        <w:t xml:space="preserve">is significant overlap in pathways </w:t>
      </w:r>
      <w:r w:rsidR="003F35B1">
        <w:t>here, carbon metabolism includes fatty acid metabolism for example.</w:t>
      </w:r>
    </w:p>
    <w:p w14:paraId="52BCBD29" w14:textId="5F638DD2" w:rsidR="00DD7C47" w:rsidRDefault="00DD7C47" w:rsidP="00513368">
      <w:pPr>
        <w:spacing w:before="240"/>
      </w:pPr>
      <w:r>
        <w:t>As</w:t>
      </w:r>
      <w:r w:rsidR="00E91B24">
        <w:t xml:space="preserve"> seen in </w:t>
      </w:r>
      <w:r w:rsidR="00E91B24">
        <w:rPr>
          <w:b/>
        </w:rPr>
        <w:t>figure 1</w:t>
      </w:r>
      <w:r w:rsidR="00E91B24">
        <w:t xml:space="preserve">, </w:t>
      </w:r>
      <w:r w:rsidR="003F35B1">
        <w:t>most pathways that our genes mapped to exhibited upregulation with only arginine and ribosome biosynthesis</w:t>
      </w:r>
      <w:r>
        <w:t xml:space="preserve"> </w:t>
      </w:r>
      <w:r w:rsidR="003F35B1">
        <w:t xml:space="preserve">showing downregulation. </w:t>
      </w:r>
      <w:r w:rsidR="00443B57">
        <w:t xml:space="preserve">As it’s impossible to say which process exactly is influenced by an overall pathway fold change we then </w:t>
      </w:r>
      <w:r w:rsidR="002834B2">
        <w:t>looked back at the fold changes of individual genes but this time in the context of their pathways (</w:t>
      </w:r>
      <w:r w:rsidR="002834B2">
        <w:rPr>
          <w:b/>
        </w:rPr>
        <w:t>figure 2</w:t>
      </w:r>
      <w:r w:rsidR="002834B2">
        <w:t>).</w:t>
      </w:r>
      <w:r w:rsidR="00513368">
        <w:t xml:space="preserve"> We chose only genes from pathways directly related to ribose and glucose metabolism as the biological implication of </w:t>
      </w:r>
      <w:r>
        <w:t>o</w:t>
      </w:r>
      <w:r>
        <w:t xml:space="preserve">ther </w:t>
      </w:r>
      <w:r w:rsidR="00513368">
        <w:t>pathways showing differential expression, such as pyrimidine metabolism and arginine biosynthesis, is unclear.</w:t>
      </w:r>
      <w:r>
        <w:t xml:space="preserve"> </w:t>
      </w:r>
    </w:p>
    <w:p w14:paraId="3BAF64D9" w14:textId="77777777" w:rsidR="00DD7C47" w:rsidRDefault="00DD7C47"/>
    <w:p w14:paraId="0D57C3CF" w14:textId="77777777" w:rsidR="000E5809" w:rsidRDefault="00F93C74" w:rsidP="000E5809">
      <w:pPr>
        <w:keepNext/>
      </w:pPr>
      <w:r w:rsidRPr="00F93C74">
        <w:lastRenderedPageBreak/>
        <w:drawing>
          <wp:inline distT="0" distB="0" distL="0" distR="0" wp14:anchorId="0622EE88" wp14:editId="6C59B3F8">
            <wp:extent cx="5514975" cy="3994232"/>
            <wp:effectExtent l="133350" t="133350" r="123825" b="139700"/>
            <wp:docPr id="4" name="Afbeelding 3">
              <a:extLst xmlns:a="http://schemas.openxmlformats.org/drawingml/2006/main">
                <a:ext uri="{FF2B5EF4-FFF2-40B4-BE49-F238E27FC236}">
                  <a16:creationId xmlns:a16="http://schemas.microsoft.com/office/drawing/2014/main" id="{258F4436-07AA-4F86-AF7A-9834102FA9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a:extLst>
                        <a:ext uri="{FF2B5EF4-FFF2-40B4-BE49-F238E27FC236}">
                          <a16:creationId xmlns:a16="http://schemas.microsoft.com/office/drawing/2014/main" id="{258F4436-07AA-4F86-AF7A-9834102FA952}"/>
                        </a:ext>
                      </a:extLst>
                    </pic:cNvPr>
                    <pic:cNvPicPr>
                      <a:picLocks noChangeAspect="1"/>
                    </pic:cNvPicPr>
                  </pic:nvPicPr>
                  <pic:blipFill rotWithShape="1">
                    <a:blip r:embed="rId5" cstate="print">
                      <a:extLst>
                        <a:ext uri="{28A0092B-C50C-407E-A947-70E740481C1C}">
                          <a14:useLocalDpi xmlns:a14="http://schemas.microsoft.com/office/drawing/2010/main" val="0"/>
                        </a:ext>
                      </a:extLst>
                    </a:blip>
                    <a:srcRect t="7676" b="3887"/>
                    <a:stretch/>
                  </pic:blipFill>
                  <pic:spPr>
                    <a:xfrm>
                      <a:off x="0" y="0"/>
                      <a:ext cx="5522731" cy="3999849"/>
                    </a:xfrm>
                    <a:prstGeom prst="rect">
                      <a:avLst/>
                    </a:prstGeom>
                    <a:ln w="127000">
                      <a:gradFill>
                        <a:gsLst>
                          <a:gs pos="50000">
                            <a:srgbClr val="00B0F0"/>
                          </a:gs>
                          <a:gs pos="0">
                            <a:schemeClr val="bg1"/>
                          </a:gs>
                          <a:gs pos="100000">
                            <a:schemeClr val="bg1"/>
                          </a:gs>
                        </a:gsLst>
                        <a:lin ang="5400000" scaled="1"/>
                      </a:gradFill>
                    </a:ln>
                  </pic:spPr>
                </pic:pic>
              </a:graphicData>
            </a:graphic>
          </wp:inline>
        </w:drawing>
      </w:r>
    </w:p>
    <w:p w14:paraId="27B43A5D" w14:textId="082CF57F" w:rsidR="00F12B05" w:rsidRDefault="000E5809" w:rsidP="000E5809">
      <w:pPr>
        <w:pStyle w:val="Caption"/>
      </w:pPr>
      <w:r>
        <w:t xml:space="preserve">Figure </w:t>
      </w:r>
      <w:r>
        <w:fldChar w:fldCharType="begin"/>
      </w:r>
      <w:r>
        <w:instrText xml:space="preserve"> SEQ Figure \* ARABIC </w:instrText>
      </w:r>
      <w:r>
        <w:fldChar w:fldCharType="separate"/>
      </w:r>
      <w:r w:rsidR="00B0014B">
        <w:rPr>
          <w:noProof/>
        </w:rPr>
        <w:t>2</w:t>
      </w:r>
      <w:r>
        <w:fldChar w:fldCharType="end"/>
      </w:r>
      <w:r>
        <w:t>: differentially expressed genes placed in a network of connections to their pathways</w:t>
      </w:r>
      <w:r w:rsidR="00C90602">
        <w:t>, red color indicates gene upregulation and green downregulation. Note that genes can belong to several pathways at once.</w:t>
      </w:r>
    </w:p>
    <w:p w14:paraId="458F9476" w14:textId="50AAE60B" w:rsidR="001145F0" w:rsidRDefault="000D5EAD">
      <w:r>
        <w:t xml:space="preserve">With </w:t>
      </w:r>
      <w:r w:rsidR="00D234ED">
        <w:t xml:space="preserve">the genes </w:t>
      </w:r>
      <w:r w:rsidR="0053274A">
        <w:t xml:space="preserve">mapped back to their pathways we can see that, although the pathways are overall upregulated, there are still genes included that show down regulation. A particularly important downregulated gene is </w:t>
      </w:r>
      <w:proofErr w:type="spellStart"/>
      <w:r w:rsidR="0053274A">
        <w:t>pfk</w:t>
      </w:r>
      <w:proofErr w:type="spellEnd"/>
      <w:r w:rsidR="0053274A">
        <w:t xml:space="preserve">, </w:t>
      </w:r>
      <w:r w:rsidR="0000006F">
        <w:t xml:space="preserve">a key enzyme in glycolysis. Its downregulation hints that glycolysis as a whole is inhibited. Conversely, the upregulation of other genes in the glycolysis/gluconeogenesis pathway indicates an increase in gluconeogenesis. These findings are in accordance with expectations, in a ribose rich but glucose poor medium it’s sensible for WCFS1 to promote glucose construction. </w:t>
      </w:r>
      <w:r w:rsidR="00B16EE8">
        <w:t xml:space="preserve">Interestingly, genes regulating the breakdown of glycogen are also upregulated, it’s possible glycogen is broken down to create more glucose. We created an overview of the most relevant genes and the substrates of their enzymes in </w:t>
      </w:r>
      <w:r w:rsidR="00B16EE8">
        <w:rPr>
          <w:b/>
        </w:rPr>
        <w:t>figure 3</w:t>
      </w:r>
      <w:r w:rsidR="00B16EE8">
        <w:t xml:space="preserve"> to visualize the myriad differential expressions </w:t>
      </w:r>
      <w:r w:rsidR="0061367B">
        <w:t>and their effects.</w:t>
      </w:r>
      <w:r w:rsidR="00B16EE8">
        <w:t xml:space="preserve"> </w:t>
      </w:r>
    </w:p>
    <w:p w14:paraId="3BCFF176" w14:textId="77777777" w:rsidR="00B16EE8" w:rsidRPr="0000006F" w:rsidRDefault="00B16EE8"/>
    <w:p w14:paraId="68829AD7" w14:textId="77777777" w:rsidR="00B0014B" w:rsidRDefault="000D5EAD" w:rsidP="00B0014B">
      <w:pPr>
        <w:keepNext/>
      </w:pPr>
      <w:r w:rsidRPr="00DD7C47">
        <w:lastRenderedPageBreak/>
        <w:drawing>
          <wp:inline distT="0" distB="0" distL="0" distR="0" wp14:anchorId="5F24718D" wp14:editId="25958579">
            <wp:extent cx="5753100" cy="4751226"/>
            <wp:effectExtent l="133350" t="133350" r="133350" b="125730"/>
            <wp:docPr id="5" name="Picture 4">
              <a:extLst xmlns:a="http://schemas.openxmlformats.org/drawingml/2006/main">
                <a:ext uri="{FF2B5EF4-FFF2-40B4-BE49-F238E27FC236}">
                  <a16:creationId xmlns:a16="http://schemas.microsoft.com/office/drawing/2014/main" id="{3CD22F17-44C2-463B-8243-609C8B1CB1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CD22F17-44C2-463B-8243-609C8B1CB1C2}"/>
                        </a:ext>
                      </a:extLst>
                    </pic:cNvPr>
                    <pic:cNvPicPr>
                      <a:picLocks noChangeAspect="1"/>
                    </pic:cNvPicPr>
                  </pic:nvPicPr>
                  <pic:blipFill rotWithShape="1">
                    <a:blip r:embed="rId6">
                      <a:extLst>
                        <a:ext uri="{28A0092B-C50C-407E-A947-70E740481C1C}">
                          <a14:useLocalDpi xmlns:a14="http://schemas.microsoft.com/office/drawing/2010/main" val="0"/>
                        </a:ext>
                      </a:extLst>
                    </a:blip>
                    <a:srcRect l="9292" t="6797" r="15405" b="24901"/>
                    <a:stretch/>
                  </pic:blipFill>
                  <pic:spPr>
                    <a:xfrm>
                      <a:off x="0" y="0"/>
                      <a:ext cx="5790707" cy="4782284"/>
                    </a:xfrm>
                    <a:prstGeom prst="rect">
                      <a:avLst/>
                    </a:prstGeom>
                    <a:ln w="127000">
                      <a:gradFill>
                        <a:gsLst>
                          <a:gs pos="50000">
                            <a:srgbClr val="00B0F0"/>
                          </a:gs>
                          <a:gs pos="0">
                            <a:schemeClr val="accent1">
                              <a:lumMod val="5000"/>
                              <a:lumOff val="95000"/>
                            </a:schemeClr>
                          </a:gs>
                          <a:gs pos="100000">
                            <a:schemeClr val="bg1"/>
                          </a:gs>
                        </a:gsLst>
                        <a:lin ang="5400000" scaled="1"/>
                      </a:gradFill>
                    </a:ln>
                  </pic:spPr>
                </pic:pic>
              </a:graphicData>
            </a:graphic>
          </wp:inline>
        </w:drawing>
      </w:r>
    </w:p>
    <w:p w14:paraId="37513998" w14:textId="3B9951B5" w:rsidR="00DD7C47" w:rsidRDefault="00B0014B" w:rsidP="00B0014B">
      <w:pPr>
        <w:pStyle w:val="Caption"/>
      </w:pPr>
      <w:r>
        <w:t xml:space="preserve">Figure </w:t>
      </w:r>
      <w:r>
        <w:fldChar w:fldCharType="begin"/>
      </w:r>
      <w:r>
        <w:instrText xml:space="preserve"> SEQ Figure \* ARABIC </w:instrText>
      </w:r>
      <w:r>
        <w:fldChar w:fldCharType="separate"/>
      </w:r>
      <w:r>
        <w:rPr>
          <w:noProof/>
        </w:rPr>
        <w:t>3</w:t>
      </w:r>
      <w:r>
        <w:fldChar w:fldCharType="end"/>
      </w:r>
      <w:r>
        <w:t>: visualization of ribose response, gene names are written between their enzyme substrates. Arrows are purely for visualization purposes and do not indicate reaction directionality (in reality many reactions are bi-directional)</w:t>
      </w:r>
      <w:r w:rsidR="00BD446E">
        <w:t>. Red arrows next to the gene names represent the direction of the gene’s differential expression while genes with a question mark were absent from our dataset.</w:t>
      </w:r>
      <w:r>
        <w:t xml:space="preserve">  </w:t>
      </w:r>
    </w:p>
    <w:p w14:paraId="5A3C91E1" w14:textId="18A75E7C" w:rsidR="00037952" w:rsidRDefault="00093398">
      <w:r>
        <w:t>It can now be clearly seen that ribose importing shows upregulation</w:t>
      </w:r>
      <w:r w:rsidR="0037227F">
        <w:t xml:space="preserve">, obviously expected as WCFS1 has to </w:t>
      </w:r>
      <w:r w:rsidR="003C62C4">
        <w:t xml:space="preserve">now </w:t>
      </w:r>
      <w:r w:rsidR="0037227F">
        <w:t>use ribose as its energy source. The breakdown of pyruvate also seems to be highly upregulated</w:t>
      </w:r>
      <w:r w:rsidR="003C62C4">
        <w:t>, the biological explanation of this is unclear.</w:t>
      </w:r>
      <w:bookmarkStart w:id="0" w:name="_GoBack"/>
      <w:bookmarkEnd w:id="0"/>
    </w:p>
    <w:p w14:paraId="04CA2FE0" w14:textId="77777777" w:rsidR="00093398" w:rsidRDefault="00093398"/>
    <w:p w14:paraId="08FC68EB" w14:textId="03D62852" w:rsidR="00DD7C47" w:rsidRDefault="00DD7C47"/>
    <w:sectPr w:rsidR="00DD7C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0DF"/>
    <w:rsid w:val="0000006F"/>
    <w:rsid w:val="00037952"/>
    <w:rsid w:val="00093398"/>
    <w:rsid w:val="000D5EAD"/>
    <w:rsid w:val="000E5809"/>
    <w:rsid w:val="001145F0"/>
    <w:rsid w:val="00172807"/>
    <w:rsid w:val="00270D5F"/>
    <w:rsid w:val="002834B2"/>
    <w:rsid w:val="0037227F"/>
    <w:rsid w:val="00380197"/>
    <w:rsid w:val="003C62C4"/>
    <w:rsid w:val="003F35B1"/>
    <w:rsid w:val="00443B57"/>
    <w:rsid w:val="0044759B"/>
    <w:rsid w:val="004B1412"/>
    <w:rsid w:val="00513368"/>
    <w:rsid w:val="0053274A"/>
    <w:rsid w:val="0061367B"/>
    <w:rsid w:val="00920509"/>
    <w:rsid w:val="0092695F"/>
    <w:rsid w:val="009810DF"/>
    <w:rsid w:val="00A53967"/>
    <w:rsid w:val="00AB77A9"/>
    <w:rsid w:val="00B0014B"/>
    <w:rsid w:val="00B16EE8"/>
    <w:rsid w:val="00BD446E"/>
    <w:rsid w:val="00C345EF"/>
    <w:rsid w:val="00C90602"/>
    <w:rsid w:val="00CC6358"/>
    <w:rsid w:val="00D234ED"/>
    <w:rsid w:val="00DD7C47"/>
    <w:rsid w:val="00DE6C99"/>
    <w:rsid w:val="00E14878"/>
    <w:rsid w:val="00E87A40"/>
    <w:rsid w:val="00E9159E"/>
    <w:rsid w:val="00E91B24"/>
    <w:rsid w:val="00F12B05"/>
    <w:rsid w:val="00F34E34"/>
    <w:rsid w:val="00F93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AB0B9"/>
  <w15:chartTrackingRefBased/>
  <w15:docId w15:val="{7B98CB8D-9E36-4D34-91BD-10D7C9FEA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D7C4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v. d. Heide</dc:creator>
  <cp:keywords/>
  <dc:description/>
  <cp:lastModifiedBy>Koen v. d. Heide</cp:lastModifiedBy>
  <cp:revision>4</cp:revision>
  <dcterms:created xsi:type="dcterms:W3CDTF">2018-06-15T12:25:00Z</dcterms:created>
  <dcterms:modified xsi:type="dcterms:W3CDTF">2018-06-15T12:47:00Z</dcterms:modified>
</cp:coreProperties>
</file>