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ANALYSTLAB AFRICA</w:t>
      </w:r>
    </w:p>
    <w:p>
      <w:pPr>
        <w:spacing w:after="40"/>
      </w:pPr>
      <w:r>
        <w:rPr>
          <w:color w:val="595959"/>
          <w:sz w:val="20"/>
          <w:szCs w:val="20"/>
        </w:rPr>
        <w:t xml:space="preserve">HealthConnect Clinic Experience Lab — Data Analytics Track</w:t>
      </w:r>
    </w:p>
    <w:p>
      <w:pPr>
        <w:spacing w:after="240"/>
      </w:pPr>
      <w:r>
        <w:rPr>
          <w:b/>
          <w:bCs/>
          <w:color w:val="1F3864"/>
          <w:sz w:val="32"/>
          <w:szCs w:val="32"/>
        </w:rPr>
        <w:t xml:space="preserve">Week 5 Project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DCE6F1" w:color="auto" w:val="clear"/>
            <w:tcMar>
              <w:top w:type="dxa" w:w="80"/>
              <w:left w:type="dxa" w:w="100"/>
              <w:bottom w:type="dxa" w:w="80"/>
              <w:right w:type="dxa" w:w="100"/>
            </w:tcMar>
          </w:tcPr>
          <w:p>
            <w:r>
              <w:rPr>
                <w:b/>
                <w:bCs/>
                <w:color w:val="000000"/>
              </w:rPr>
              <w:t xml:space="preserve">Track</w:t>
            </w:r>
          </w:p>
        </w:tc>
        <w:tc>
          <w:tcPr>
            <w:tcW w:type="dxa" w:w="6400"/>
            <w:tcMar>
              <w:top w:type="dxa" w:w="80"/>
              <w:left w:type="dxa" w:w="100"/>
              <w:bottom w:type="dxa" w:w="80"/>
              <w:right w:type="dxa" w:w="100"/>
            </w:tcMar>
          </w:tcPr>
          <w:p>
            <w:r>
              <w:rPr>
                <w:b w:val="false"/>
                <w:bCs w:val="false"/>
                <w:color w:val="000000"/>
              </w:rPr>
              <w:t xml:space="preserve">Data Analytics</w:t>
            </w:r>
          </w:p>
        </w:tc>
      </w:tr>
      <w:tr>
        <w:tc>
          <w:tcPr>
            <w:tcW w:type="dxa" w:w="3000"/>
            <w:shd w:fill="DCE6F1" w:color="auto" w:val="clear"/>
            <w:tcMar>
              <w:top w:type="dxa" w:w="80"/>
              <w:left w:type="dxa" w:w="100"/>
              <w:bottom w:type="dxa" w:w="80"/>
              <w:right w:type="dxa" w:w="100"/>
            </w:tcMar>
          </w:tcPr>
          <w:p>
            <w:r>
              <w:rPr>
                <w:b/>
                <w:bCs/>
                <w:color w:val="000000"/>
              </w:rPr>
              <w:t xml:space="preserve">Week</w:t>
            </w:r>
          </w:p>
        </w:tc>
        <w:tc>
          <w:tcPr>
            <w:tcW w:type="dxa" w:w="6400"/>
            <w:tcMar>
              <w:top w:type="dxa" w:w="80"/>
              <w:left w:type="dxa" w:w="100"/>
              <w:bottom w:type="dxa" w:w="80"/>
              <w:right w:type="dxa" w:w="100"/>
            </w:tcMar>
          </w:tcPr>
          <w:p>
            <w:r>
              <w:rPr>
                <w:b w:val="false"/>
                <w:bCs w:val="false"/>
                <w:color w:val="000000"/>
              </w:rPr>
              <w:t xml:space="preserve">Week 5 — Solution Development &amp; Implementation</w:t>
            </w:r>
          </w:p>
        </w:tc>
      </w:tr>
    </w:tbl>
    <w:p>
      <w:pPr>
        <w:spacing w:after="130"/>
      </w:pPr>
      <w:r>
        <w:t xml:space="preserve"/>
      </w:r>
    </w:p>
    <w:p>
      <w:pPr>
        <w:pStyle w:val="Heading1"/>
        <w:spacing w:after="130" w:before="300"/>
      </w:pPr>
      <w:r>
        <w:t xml:space="preserve">1. What I Planned to Accomplish</w:t>
      </w:r>
    </w:p>
    <w:p>
      <w:pPr>
        <w:spacing w:after="130"/>
      </w:pPr>
      <w:r>
        <w:t xml:space="preserve">As proposed at the end of Week 4, the goal for Week 5 was to finalise and calculate the five proposed KPIs, extend the exploratory analysis across the remaining variables (age group, day, time), resolve the outstanding missing values in distance_to_clinic_km and waiting_time_minutes, build an initial dashboard, and produce business insights and recommendations for HealthConnect.</w:t>
      </w:r>
    </w:p>
    <w:p>
      <w:pPr>
        <w:pStyle w:val="Heading1"/>
        <w:spacing w:after="130" w:before="300"/>
      </w:pPr>
      <w:r>
        <w:t xml:space="preserve">2. What I Actually Completed</w:t>
      </w:r>
    </w:p>
    <w:p>
      <w:pPr>
        <w:pStyle w:val="ListParagraph"/>
        <w:numPr>
          <w:ilvl w:val="0"/>
          <w:numId w:val="1"/>
        </w:numPr>
        <w:spacing w:after="70"/>
      </w:pPr>
      <w:r>
        <w:t xml:space="preserve">Completed a full data preparation pass: documented missing values, duplicates, and consistency checks, then applied and justified cleaning decisions (encoding reminder_channel nulls as "No Reminder"; median-imputing distance_to_clinic_km and waiting_time_minutes with missingness flags retained).</w:t>
      </w:r>
    </w:p>
    <w:p>
      <w:pPr>
        <w:pStyle w:val="ListParagraph"/>
        <w:numPr>
          <w:ilvl w:val="0"/>
          <w:numId w:val="1"/>
        </w:numPr>
        <w:spacing w:after="70"/>
      </w:pPr>
      <w:r>
        <w:t xml:space="preserve">Ran exploratory analysis across appointment characteristics, patient demographics, previous appointment history, reminders, waiting time, distance, booking lead time, and cancellations, each supported by a visualisation.</w:t>
      </w:r>
    </w:p>
    <w:p>
      <w:pPr>
        <w:pStyle w:val="ListParagraph"/>
        <w:numPr>
          <w:ilvl w:val="0"/>
          <w:numId w:val="1"/>
        </w:numPr>
        <w:spacing w:after="70"/>
      </w:pPr>
      <w:r>
        <w:t xml:space="preserve">Calculated and interpreted all 5 KPIs proposed in Week 4: Overall No-Show Rate, Repeat No-Show Rate, Reminder Coverage Rate, No-Show Rate by Booking Lead-Time Group, and No-Show Rate by Appointment Type.</w:t>
      </w:r>
    </w:p>
    <w:p>
      <w:pPr>
        <w:pStyle w:val="ListParagraph"/>
        <w:numPr>
          <w:ilvl w:val="0"/>
          <w:numId w:val="1"/>
        </w:numPr>
        <w:spacing w:after="70"/>
      </w:pPr>
      <w:r>
        <w:t xml:space="preserve">Built a 6-panel analytical dashboard summarising the KPIs, exported as a standalone image.</w:t>
      </w:r>
    </w:p>
    <w:p>
      <w:pPr>
        <w:pStyle w:val="ListParagraph"/>
        <w:numPr>
          <w:ilvl w:val="0"/>
          <w:numId w:val="1"/>
        </w:numPr>
        <w:spacing w:after="70"/>
      </w:pPr>
      <w:r>
        <w:t xml:space="preserve">Produced 6 business insights, each with an implication for HealthConnect, and an overall recommendation.</w:t>
      </w:r>
    </w:p>
    <w:p>
      <w:pPr>
        <w:pStyle w:val="ListParagraph"/>
        <w:numPr>
          <w:ilvl w:val="0"/>
          <w:numId w:val="1"/>
        </w:numPr>
        <w:spacing w:after="70"/>
      </w:pPr>
      <w:r>
        <w:t xml:space="preserve">Documented a cross-track collaboration point with the Data Science track, and updated the Week 4 assumptions/limitations/risks register.</w:t>
      </w:r>
    </w:p>
    <w:p>
      <w:pPr>
        <w:pStyle w:val="Heading1"/>
        <w:spacing w:after="130" w:before="300"/>
      </w:pPr>
      <w:r>
        <w:t xml:space="preserve">3. Key Findings</w:t>
      </w:r>
    </w:p>
    <w:p>
      <w:pPr>
        <w:pStyle w:val="ListParagraph"/>
        <w:numPr>
          <w:ilvl w:val="0"/>
          <w:numId w:val="1"/>
        </w:numPr>
        <w:spacing w:after="70"/>
      </w:pPr>
      <w:r>
        <w:t xml:space="preserve">Overall No-Show Rate is 48.46% — confirming a large-scale, systemic problem.</w:t>
      </w:r>
    </w:p>
    <w:p>
      <w:pPr>
        <w:pStyle w:val="ListParagraph"/>
        <w:numPr>
          <w:ilvl w:val="0"/>
          <w:numId w:val="1"/>
        </w:numPr>
        <w:spacing w:after="70"/>
      </w:pPr>
      <w:r>
        <w:t xml:space="preserve">Booking lead time is the strongest driver found: No-Show rate rises from ~28% (booked 0–7 days ahead) to over 60% (booked 31–60+ days ahead).</w:t>
      </w:r>
    </w:p>
    <w:p>
      <w:pPr>
        <w:pStyle w:val="ListParagraph"/>
        <w:numPr>
          <w:ilvl w:val="0"/>
          <w:numId w:val="1"/>
        </w:numPr>
        <w:spacing w:after="70"/>
      </w:pPr>
      <w:r>
        <w:t xml:space="preserve">Patients with a prior no-show history show a markedly higher No-Show rate than first-time patients — the strongest patient-level signal in the dataset.</w:t>
      </w:r>
    </w:p>
    <w:p>
      <w:pPr>
        <w:pStyle w:val="ListParagraph"/>
        <w:numPr>
          <w:ilvl w:val="0"/>
          <w:numId w:val="1"/>
        </w:numPr>
        <w:spacing w:after="70"/>
      </w:pPr>
      <w:r>
        <w:t xml:space="preserve">Reminders are associated with a modestly lower No-Show rate (47.4% vs 51.4%), but reminder coverage is only ~72.7% — a fixable operational gap.</w:t>
      </w:r>
    </w:p>
    <w:p>
      <w:pPr>
        <w:pStyle w:val="ListParagraph"/>
        <w:numPr>
          <w:ilvl w:val="0"/>
          <w:numId w:val="1"/>
        </w:numPr>
        <w:spacing w:after="70"/>
      </w:pPr>
      <w:r>
        <w:t xml:space="preserve">Waiting time and distance to clinic show little to no relationship with attendance, and are now deprioritised as drivers.</w:t>
      </w:r>
    </w:p>
    <w:p>
      <w:pPr>
        <w:pStyle w:val="ListParagraph"/>
        <w:numPr>
          <w:ilvl w:val="0"/>
          <w:numId w:val="1"/>
        </w:numPr>
        <w:spacing w:after="70"/>
      </w:pPr>
      <w:r>
        <w:t xml:space="preserve">Cancellations (5.3%) behave differently from No-Shows and stay fairly consistent across appointment types, supporting treating them as a separate metric.</w:t>
      </w:r>
    </w:p>
    <w:p>
      <w:pPr>
        <w:pStyle w:val="Heading1"/>
        <w:spacing w:after="130" w:before="300"/>
      </w:pPr>
      <w:r>
        <w:t xml:space="preserve">4. Major Challenges Encountered</w:t>
      </w:r>
    </w:p>
    <w:p>
      <w:pPr>
        <w:pStyle w:val="ListParagraph"/>
        <w:numPr>
          <w:ilvl w:val="0"/>
          <w:numId w:val="1"/>
        </w:numPr>
        <w:spacing w:after="70"/>
      </w:pPr>
      <w:r>
        <w:t xml:space="preserve">Deciding how to handle the structurally missing reminder_channel values required care, since treating them as ordinary missing data would have misrepresented the actual data quality picture — resolved by encoding them as an explicit "No Reminder" category rather than imputing or dropping them.</w:t>
      </w:r>
    </w:p>
    <w:p>
      <w:pPr>
        <w:pStyle w:val="ListParagraph"/>
        <w:numPr>
          <w:ilvl w:val="0"/>
          <w:numId w:val="1"/>
        </w:numPr>
        <w:spacing w:after="70"/>
      </w:pPr>
      <w:r>
        <w:t xml:space="preserve">Distinguishing genuine relationships from weak/no relationships (e.g. waiting time, distance) took deliberate comparison across multiple visual formats (box plots, bar charts) before ruling them out with reasonable confidence.</w:t>
      </w:r>
    </w:p>
    <w:p>
      <w:pPr>
        <w:pStyle w:val="ListParagraph"/>
        <w:numPr>
          <w:ilvl w:val="0"/>
          <w:numId w:val="1"/>
        </w:numPr>
        <w:spacing w:after="70"/>
      </w:pPr>
      <w:r>
        <w:t xml:space="preserve">Working with small sample sizes in the higher previous_no_shows categories (e.g. 4–5 prior no-shows) meant those specific rates needed to be flagged as less statistically reliable rather than treated at face value.</w:t>
      </w:r>
    </w:p>
    <w:p>
      <w:pPr>
        <w:pStyle w:val="Heading1"/>
        <w:spacing w:after="130" w:before="300"/>
      </w:pPr>
      <w:r>
        <w:t xml:space="preserve">5. Important Decisions Made and Why</w:t>
      </w:r>
    </w:p>
    <w:p>
      <w:pPr>
        <w:pStyle w:val="ListParagraph"/>
        <w:numPr>
          <w:ilvl w:val="0"/>
          <w:numId w:val="1"/>
        </w:numPr>
        <w:spacing w:after="70"/>
      </w:pPr>
      <w:r>
        <w:t xml:space="preserve">Used median imputation (rather than mean or deletion) for the small proportion of missing distance_to_clinic_km and waiting_time_minutes values, since it is robust to outliers and the missing proportion was low (under 2% each).</w:t>
      </w:r>
    </w:p>
    <w:p>
      <w:pPr>
        <w:pStyle w:val="ListParagraph"/>
        <w:numPr>
          <w:ilvl w:val="0"/>
          <w:numId w:val="1"/>
        </w:numPr>
        <w:spacing w:after="70"/>
      </w:pPr>
      <w:r>
        <w:t xml:space="preserve">Kept the original CSV untouched and saved all cleaning to a separate file (HealthConnect_Appointment_Data_cleaned.csv), in line with the assignment's data-handling requirements.</w:t>
      </w:r>
    </w:p>
    <w:p>
      <w:pPr>
        <w:pStyle w:val="ListParagraph"/>
        <w:numPr>
          <w:ilvl w:val="0"/>
          <w:numId w:val="1"/>
        </w:numPr>
        <w:spacing w:after="70"/>
      </w:pPr>
      <w:r>
        <w:t xml:space="preserve">Treated Cancelled appointments as a distinct outcome from No-Show throughout, rather than folding them into a combined "missed appointment" metric, since they have different operational implications.</w:t>
      </w:r>
    </w:p>
    <w:p>
      <w:pPr>
        <w:pStyle w:val="Heading1"/>
        <w:spacing w:after="130" w:before="300"/>
      </w:pPr>
      <w:r>
        <w:t xml:space="preserve">6. Changes to My Week 4 Approach</w:t>
      </w:r>
    </w:p>
    <w:p>
      <w:pPr>
        <w:spacing w:after="130"/>
      </w:pPr>
      <w:r>
        <w:t xml:space="preserve">The core approach from Week 4 held up well. The main adjustment was in relative priority: waiting time and distance to clinic, which were treated as open questions in Week 4, are now deprioritised as candidate drivers after fuller analysis showed little relationship with attendance. Booking lead time, which was one of five roughly equal business questions in Week 4, emerged this week as the single strongest signal in the dataset and is now the top recommended focus area.</w:t>
      </w:r>
    </w:p>
    <w:p>
      <w:pPr>
        <w:pStyle w:val="Heading1"/>
        <w:spacing w:after="130" w:before="300"/>
      </w:pPr>
      <w:r>
        <w:t xml:space="preserve">7. Cross-Track Collaboration Completed</w:t>
      </w:r>
    </w:p>
    <w:p>
      <w:pPr>
        <w:spacing w:after="130"/>
      </w:pPr>
      <w:r>
        <w:t xml:space="preserve">Shared KPI and EDA findings with the Data Science track — specifically that booking_lead_days and previous_no_shows show the strongest association with appointment_outcome, while waiting_time_minutes and distance_to_clinic_km show weak association. This gives their Week 5 feature engineering an evidence-based starting point, and flagged that the treatment of Cancelled appointments should be aligned between the two tracks since both rely on the same outcome field.</w:t>
      </w:r>
    </w:p>
    <w:p>
      <w:pPr>
        <w:pStyle w:val="Heading1"/>
        <w:spacing w:after="130" w:before="300"/>
      </w:pPr>
      <w:r>
        <w:t xml:space="preserve">8. Remaining Work</w:t>
      </w:r>
    </w:p>
    <w:p>
      <w:pPr>
        <w:pStyle w:val="ListParagraph"/>
        <w:numPr>
          <w:ilvl w:val="0"/>
          <w:numId w:val="1"/>
        </w:numPr>
        <w:spacing w:after="70"/>
      </w:pPr>
      <w:r>
        <w:t xml:space="preserve">Extend segment analysis with statistical significance testing (e.g. chi-square) rather than relying on visual/descriptive comparison alone.</w:t>
      </w:r>
    </w:p>
    <w:p>
      <w:pPr>
        <w:pStyle w:val="ListParagraph"/>
        <w:numPr>
          <w:ilvl w:val="0"/>
          <w:numId w:val="1"/>
        </w:numPr>
        <w:spacing w:after="70"/>
      </w:pPr>
      <w:r>
        <w:t xml:space="preserve">Build a more polished, stakeholder-facing dashboard (Power BI or Tableau) beyond the current matplotlib summary.</w:t>
      </w:r>
    </w:p>
    <w:p>
      <w:pPr>
        <w:pStyle w:val="ListParagraph"/>
        <w:numPr>
          <w:ilvl w:val="0"/>
          <w:numId w:val="1"/>
        </w:numPr>
        <w:spacing w:after="70"/>
      </w:pPr>
      <w:r>
        <w:t xml:space="preserve">Investigate potential seasonality in appointment_date (e.g. month-end or holiday-period effects) not yet examined.</w:t>
      </w:r>
    </w:p>
    <w:p>
      <w:pPr>
        <w:pStyle w:val="Heading1"/>
        <w:spacing w:after="130" w:before="300"/>
      </w:pPr>
      <w:r>
        <w:t xml:space="preserve">9. Proposed Focus for Week 6</w:t>
      </w:r>
    </w:p>
    <w:p>
      <w:pPr>
        <w:spacing w:after="130"/>
      </w:pPr>
      <w:r>
        <w:t xml:space="preserve">Move the dashboard into a proper BI tool for stakeholder use, add significance testing to strengthen the KPI interpretations, and continue coordinating with the Data Science track as their baseline no-show prediction model takes shape — validating whether the features flagged this week (booking lead time, prior no-show history) prove predictive in practice.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30" w:before="30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2026-09-06T19:13:39.364Z</dcterms:created>
  <dcterms:modified xsi:type="dcterms:W3CDTF">2026-09-06T19:13:39.375Z</dcterms:modified>
</cp:coreProperties>
</file>

<file path=docProps/custom.xml><?xml version="1.0" encoding="utf-8"?>
<Properties xmlns="http://schemas.openxmlformats.org/officeDocument/2006/custom-properties" xmlns:vt="http://schemas.openxmlformats.org/officeDocument/2006/docPropsVTypes"/>
</file>