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ANALYSTLAB AFRICA</w:t>
      </w:r>
    </w:p>
    <w:p>
      <w:pPr>
        <w:spacing w:after="40"/>
      </w:pPr>
      <w:r>
        <w:rPr>
          <w:color w:val="595959"/>
          <w:sz w:val="20"/>
          <w:szCs w:val="20"/>
        </w:rPr>
        <w:t xml:space="preserve">HealthConnect Clinic Experience Lab — Data Analytics Track</w:t>
      </w:r>
    </w:p>
    <w:p>
      <w:pPr>
        <w:spacing w:after="220"/>
      </w:pPr>
      <w:r>
        <w:rPr>
          <w:b/>
          <w:bCs/>
          <w:color w:val="1F3864"/>
          <w:sz w:val="32"/>
          <w:szCs w:val="32"/>
        </w:rPr>
        <w:t xml:space="preserve">Week 6 Project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DCE6F1" w:color="auto" w:val="clear"/>
            <w:tcMar>
              <w:top w:type="dxa" w:w="80"/>
              <w:left w:type="dxa" w:w="100"/>
              <w:bottom w:type="dxa" w:w="80"/>
              <w:right w:type="dxa" w:w="100"/>
            </w:tcMar>
          </w:tcPr>
          <w:p>
            <w:r>
              <w:rPr>
                <w:b/>
                <w:bCs/>
                <w:color w:val="000000"/>
              </w:rPr>
              <w:t xml:space="preserve">Track</w:t>
            </w:r>
          </w:p>
        </w:tc>
        <w:tc>
          <w:tcPr>
            <w:tcW w:type="dxa" w:w="6400"/>
            <w:tcMar>
              <w:top w:type="dxa" w:w="80"/>
              <w:left w:type="dxa" w:w="100"/>
              <w:bottom w:type="dxa" w:w="80"/>
              <w:right w:type="dxa" w:w="100"/>
            </w:tcMar>
          </w:tcPr>
          <w:p>
            <w:r>
              <w:rPr>
                <w:b w:val="false"/>
                <w:bCs w:val="false"/>
                <w:color w:val="000000"/>
              </w:rPr>
              <w:t xml:space="preserve">Data Analytics</w:t>
            </w:r>
          </w:p>
        </w:tc>
      </w:tr>
      <w:tr>
        <w:tc>
          <w:tcPr>
            <w:tcW w:type="dxa" w:w="3000"/>
            <w:shd w:fill="DCE6F1" w:color="auto" w:val="clear"/>
            <w:tcMar>
              <w:top w:type="dxa" w:w="80"/>
              <w:left w:type="dxa" w:w="100"/>
              <w:bottom w:type="dxa" w:w="80"/>
              <w:right w:type="dxa" w:w="100"/>
            </w:tcMar>
          </w:tcPr>
          <w:p>
            <w:r>
              <w:rPr>
                <w:b/>
                <w:bCs/>
                <w:color w:val="000000"/>
              </w:rPr>
              <w:t xml:space="preserve">Week</w:t>
            </w:r>
          </w:p>
        </w:tc>
        <w:tc>
          <w:tcPr>
            <w:tcW w:type="dxa" w:w="6400"/>
            <w:tcMar>
              <w:top w:type="dxa" w:w="80"/>
              <w:left w:type="dxa" w:w="100"/>
              <w:bottom w:type="dxa" w:w="80"/>
              <w:right w:type="dxa" w:w="100"/>
            </w:tcMar>
          </w:tcPr>
          <w:p>
            <w:r>
              <w:rPr>
                <w:b w:val="false"/>
                <w:bCs w:val="false"/>
                <w:color w:val="000000"/>
              </w:rPr>
              <w:t xml:space="preserve">Week 6 — Integration, Advanced Development &amp; Validation</w:t>
            </w:r>
          </w:p>
        </w:tc>
      </w:tr>
    </w:tbl>
    <w:p>
      <w:pPr>
        <w:spacing w:after="120"/>
      </w:pPr>
      <w:r>
        <w:t xml:space="preserve"/>
      </w:r>
    </w:p>
    <w:p>
      <w:pPr>
        <w:pStyle w:val="Heading1"/>
        <w:spacing w:after="120" w:before="280"/>
      </w:pPr>
      <w:r>
        <w:t xml:space="preserve">1. What I Planned to Accomplish</w:t>
      </w:r>
    </w:p>
    <w:p>
      <w:pPr>
        <w:spacing w:after="120"/>
      </w:pPr>
      <w:r>
        <w:t xml:space="preserve">Deepen and statistically validate the strongest findings from Week 5 (booking lead time and previous no-show history), investigate whether they compound when combined, objectively rank all candidate features, and produce a concrete artefact to hand off to the Data Science track — without repeating Week 5's EDA or dashboard.</w:t>
      </w:r>
    </w:p>
    <w:p>
      <w:pPr>
        <w:pStyle w:val="Heading1"/>
        <w:spacing w:after="120" w:before="280"/>
      </w:pPr>
      <w:r>
        <w:t xml:space="preserve">2. What I Completed</w:t>
      </w:r>
    </w:p>
    <w:p>
      <w:pPr>
        <w:pStyle w:val="ListParagraph"/>
        <w:numPr>
          <w:ilvl w:val="0"/>
          <w:numId w:val="1"/>
        </w:numPr>
        <w:spacing w:after="60"/>
      </w:pPr>
      <w:r>
        <w:t xml:space="preserve">Ran chi-square tests of independence with effect sizes (Cramer's V) on the four top categorical predictors from Week 5.</w:t>
      </w:r>
    </w:p>
    <w:p>
      <w:pPr>
        <w:pStyle w:val="ListParagraph"/>
        <w:numPr>
          <w:ilvl w:val="0"/>
          <w:numId w:val="1"/>
        </w:numPr>
        <w:spacing w:after="60"/>
      </w:pPr>
      <w:r>
        <w:t xml:space="preserve">Recalculated the top 3 KPIs with 95% confidence intervals (Wilson method) to confirm the Week 5 patterns are statistically robust, not sampling noise.</w:t>
      </w:r>
    </w:p>
    <w:p>
      <w:pPr>
        <w:pStyle w:val="ListParagraph"/>
        <w:numPr>
          <w:ilvl w:val="0"/>
          <w:numId w:val="1"/>
        </w:numPr>
        <w:spacing w:after="60"/>
      </w:pPr>
      <w:r>
        <w:t xml:space="preserve">Built an interaction heatmap combining previous no-shows and booking lead time, revealing a compounding effect not visible in Week 5.</w:t>
      </w:r>
    </w:p>
    <w:p>
      <w:pPr>
        <w:pStyle w:val="ListParagraph"/>
        <w:numPr>
          <w:ilvl w:val="0"/>
          <w:numId w:val="1"/>
        </w:numPr>
        <w:spacing w:after="60"/>
      </w:pPr>
      <w:r>
        <w:t xml:space="preserve">Ran a standardised logistic regression (with statsmodels p-values) to objectively rank all candidate features, including a formal revision of one Week 5 conclusion.</w:t>
      </w:r>
    </w:p>
    <w:p>
      <w:pPr>
        <w:pStyle w:val="ListParagraph"/>
        <w:numPr>
          <w:ilvl w:val="0"/>
          <w:numId w:val="1"/>
        </w:numPr>
        <w:spacing w:after="60"/>
      </w:pPr>
      <w:r>
        <w:t xml:space="preserve">Exported two validated feature-ranking files as a concrete cross-track integration artefact for the Data Science track.</w:t>
      </w:r>
    </w:p>
    <w:p>
      <w:pPr>
        <w:pStyle w:val="ListParagraph"/>
        <w:numPr>
          <w:ilvl w:val="0"/>
          <w:numId w:val="1"/>
        </w:numPr>
        <w:spacing w:after="60"/>
      </w:pPr>
      <w:r>
        <w:t xml:space="preserve">Rebuilt the dashboard around the three new validated views rather than repeating the Week 5 panels.</w:t>
      </w:r>
    </w:p>
    <w:p>
      <w:pPr>
        <w:pStyle w:val="Heading1"/>
        <w:spacing w:after="120" w:before="280"/>
      </w:pPr>
      <w:r>
        <w:t xml:space="preserve">3. What I Improved from Week 5</w:t>
      </w:r>
    </w:p>
    <w:p>
      <w:pPr>
        <w:pStyle w:val="ListParagraph"/>
        <w:numPr>
          <w:ilvl w:val="0"/>
          <w:numId w:val="1"/>
        </w:numPr>
        <w:spacing w:after="60"/>
      </w:pPr>
      <w:r>
        <w:t xml:space="preserve">Moved from descriptive group-by comparisons to statistically tested relationships (chi-square, confidence intervals).</w:t>
      </w:r>
    </w:p>
    <w:p>
      <w:pPr>
        <w:pStyle w:val="ListParagraph"/>
        <w:numPr>
          <w:ilvl w:val="0"/>
          <w:numId w:val="1"/>
        </w:numPr>
        <w:spacing w:after="60"/>
      </w:pPr>
      <w:r>
        <w:t xml:space="preserve">Added an interaction analysis Week 5 did not include, identifying a specific high-risk patient segment.</w:t>
      </w:r>
    </w:p>
    <w:p>
      <w:pPr>
        <w:pStyle w:val="ListParagraph"/>
        <w:numPr>
          <w:ilvl w:val="0"/>
          <w:numId w:val="1"/>
        </w:numPr>
        <w:spacing w:after="60"/>
      </w:pPr>
      <w:r>
        <w:t xml:space="preserve">Replaced visual-only feature prioritisation with an objective, model-based ranking.</w:t>
      </w:r>
    </w:p>
    <w:p>
      <w:pPr>
        <w:pStyle w:val="Heading1"/>
        <w:spacing w:after="120" w:before="280"/>
      </w:pPr>
      <w:r>
        <w:t xml:space="preserve">4. What I Integrated</w:t>
      </w:r>
    </w:p>
    <w:p>
      <w:pPr>
        <w:spacing w:after="120"/>
      </w:pPr>
      <w:r>
        <w:t xml:space="preserve">Integrated with the Data Science track's feature-selection process by exporting a statistically validated, ranked feature list (with chi-square/Cramer's V for categorical features and logistic regression coefficients/p-values for numeric features) instead of leaving feature prioritisation to visual inspection alone.</w:t>
      </w:r>
    </w:p>
    <w:p>
      <w:pPr>
        <w:pStyle w:val="Heading1"/>
        <w:spacing w:after="120" w:before="280"/>
      </w:pPr>
      <w:r>
        <w:t xml:space="preserve">5. Track(s) Collaborated With</w:t>
      </w:r>
    </w:p>
    <w:p>
      <w:pPr>
        <w:spacing w:after="120"/>
      </w:pPr>
      <w:r>
        <w:t xml:space="preserve">Data Science.</w:t>
      </w:r>
    </w:p>
    <w:p>
      <w:pPr>
        <w:pStyle w:val="Heading1"/>
        <w:spacing w:after="120" w:before="280"/>
      </w:pPr>
      <w:r>
        <w:t xml:space="preserve">6. What Was Exchanged</w:t>
      </w:r>
    </w:p>
    <w:p>
      <w:pPr>
        <w:spacing w:after="120"/>
      </w:pPr>
      <w:r>
        <w:t xml:space="preserve">Provided: HealthConnect_Week6_Feature_Validation_for_DataScience.csv and HealthConnect_Week6_Numeric_Feature_Ranking_for_DataScience.csv, containing significance tests, effect sizes, and standardised coefficients for every Week 5 candidate feature. Received (from the shared Week 5 ML Problem Definition): the candidate feature list used as this analysis's starting point.</w:t>
      </w:r>
    </w:p>
    <w:p>
      <w:pPr>
        <w:pStyle w:val="Heading1"/>
        <w:spacing w:after="120" w:before="280"/>
      </w:pPr>
      <w:r>
        <w:t xml:space="preserve">7. What Changed as a Result</w:t>
      </w:r>
    </w:p>
    <w:p>
      <w:pPr>
        <w:spacing w:after="120"/>
      </w:pPr>
      <w:r>
        <w:t xml:space="preserve">The Data Science track's Week 6 feature-refinement decisions can now be justified with statistical evidence rather than the descriptive comparisons available at the end of Week 5. This analysis also gained the interaction-effect finding as a direct byproduct of preparing the handoff.</w:t>
      </w:r>
    </w:p>
    <w:p>
      <w:pPr>
        <w:pStyle w:val="Heading1"/>
        <w:spacing w:after="120" w:before="280"/>
      </w:pPr>
      <w:r>
        <w:t xml:space="preserve">8. Key Findings</w:t>
      </w:r>
    </w:p>
    <w:p>
      <w:pPr>
        <w:pStyle w:val="ListParagraph"/>
        <w:numPr>
          <w:ilvl w:val="0"/>
          <w:numId w:val="1"/>
        </w:numPr>
        <w:spacing w:after="60"/>
      </w:pPr>
      <w:r>
        <w:t xml:space="preserve">Booking lead time and previous no-show history are both statistically significant with meaningful effect sizes, confirming Week 5's top two findings hold up under formal testing.</w:t>
      </w:r>
    </w:p>
    <w:p>
      <w:pPr>
        <w:pStyle w:val="ListParagraph"/>
        <w:numPr>
          <w:ilvl w:val="0"/>
          <w:numId w:val="1"/>
        </w:numPr>
        <w:spacing w:after="60"/>
      </w:pPr>
      <w:r>
        <w:t xml:space="preserve">Patients with 3+ previous no-shows and a booking lead time over 30 days show a compounded, disproportionately high no-show rate — a new finding not visible in Week 5's separate breakdowns.</w:t>
      </w:r>
    </w:p>
    <w:p>
      <w:pPr>
        <w:pStyle w:val="ListParagraph"/>
        <w:numPr>
          <w:ilvl w:val="0"/>
          <w:numId w:val="1"/>
        </w:numPr>
        <w:spacing w:after="60"/>
      </w:pPr>
      <w:r>
        <w:t xml:space="preserve">distance_to_clinic_km is statistically significant once other variables are controlled for in a multivariate model, despite showing little relationship in Week 5's simple comparison — this required a formal revision to a Week 5 conclusion.</w:t>
      </w:r>
    </w:p>
    <w:p>
      <w:pPr>
        <w:pStyle w:val="ListParagraph"/>
        <w:numPr>
          <w:ilvl w:val="0"/>
          <w:numId w:val="1"/>
        </w:numPr>
        <w:spacing w:after="60"/>
      </w:pPr>
      <w:r>
        <w:t xml:space="preserve">waiting_time_minutes remains clearly non-significant, confirming Week 5's decision to deprioritise it.</w:t>
      </w:r>
    </w:p>
    <w:p>
      <w:pPr>
        <w:pStyle w:val="Heading1"/>
        <w:spacing w:after="120" w:before="280"/>
      </w:pPr>
      <w:r>
        <w:t xml:space="preserve">9. Major Challenges</w:t>
      </w:r>
    </w:p>
    <w:p>
      <w:pPr>
        <w:pStyle w:val="ListParagraph"/>
        <w:numPr>
          <w:ilvl w:val="0"/>
          <w:numId w:val="1"/>
        </w:numPr>
        <w:spacing w:after="60"/>
      </w:pPr>
      <w:r>
        <w:t xml:space="preserve">The logistic regression initially appeared to confirm Week 5's conclusion that distance had no effect; only after adding formal p-values (via statsmodels, since scikit-learn does not report them) was it clear that distance was in fact statistically significant — a reminder that absence of a strong bivariate pattern doesn't rule out a real multivariate effect.</w:t>
      </w:r>
    </w:p>
    <w:p>
      <w:pPr>
        <w:pStyle w:val="ListParagraph"/>
        <w:numPr>
          <w:ilvl w:val="0"/>
          <w:numId w:val="1"/>
        </w:numPr>
        <w:spacing w:after="60"/>
      </w:pPr>
      <w:r>
        <w:t xml:space="preserve">Some interaction cells (e.g. 3+ previous no-shows with 60+ day lead time) have very small sample sizes, requiring careful framing so the finding isn't overstated.</w:t>
      </w:r>
    </w:p>
    <w:p>
      <w:pPr>
        <w:pStyle w:val="Heading1"/>
        <w:spacing w:after="120" w:before="280"/>
      </w:pPr>
      <w:r>
        <w:t xml:space="preserve">10. Important Decisions</w:t>
      </w:r>
    </w:p>
    <w:p>
      <w:pPr>
        <w:pStyle w:val="ListParagraph"/>
        <w:numPr>
          <w:ilvl w:val="0"/>
          <w:numId w:val="1"/>
        </w:numPr>
        <w:spacing w:after="60"/>
      </w:pPr>
      <w:r>
        <w:t xml:space="preserve">Used a lightweight logistic regression strictly as a feature-ranking/validation tool, not as a competing predictive model — the Data Science track's baseline/improved model remains their responsibility.</w:t>
      </w:r>
    </w:p>
    <w:p>
      <w:pPr>
        <w:pStyle w:val="ListParagraph"/>
        <w:numPr>
          <w:ilvl w:val="0"/>
          <w:numId w:val="1"/>
        </w:numPr>
        <w:spacing w:after="60"/>
      </w:pPr>
      <w:r>
        <w:t xml:space="preserve">Documented the distance_to_clinic_km revision explicitly rather than quietly updating the conclusion, since the assignment requires reviewing whether Week 5 conclusions need to change.</w:t>
      </w:r>
    </w:p>
    <w:p>
      <w:pPr>
        <w:pStyle w:val="Heading1"/>
        <w:spacing w:after="120" w:before="280"/>
      </w:pPr>
      <w:r>
        <w:t xml:space="preserve">11. Remaining Issues</w:t>
      </w:r>
    </w:p>
    <w:p>
      <w:pPr>
        <w:pStyle w:val="ListParagraph"/>
        <w:numPr>
          <w:ilvl w:val="0"/>
          <w:numId w:val="1"/>
        </w:numPr>
        <w:spacing w:after="60"/>
      </w:pPr>
      <w:r>
        <w:t xml:space="preserve">Causal impact of any proposed intervention remains unverified — only a controlled experiment (e.g. A/B testing a new reminder cadence) can confirm this.</w:t>
      </w:r>
    </w:p>
    <w:p>
      <w:pPr>
        <w:pStyle w:val="ListParagraph"/>
        <w:numPr>
          <w:ilvl w:val="0"/>
          <w:numId w:val="1"/>
        </w:numPr>
        <w:spacing w:after="60"/>
      </w:pPr>
      <w:r>
        <w:t xml:space="preserve">Small-sample uncertainty in the most extreme interaction cells should be revisited as more data becomes available.</w:t>
      </w:r>
    </w:p>
    <w:p>
      <w:pPr>
        <w:pStyle w:val="ListParagraph"/>
        <w:numPr>
          <w:ilvl w:val="0"/>
          <w:numId w:val="1"/>
        </w:numPr>
        <w:spacing w:after="60"/>
      </w:pPr>
      <w:r>
        <w:t xml:space="preserve">This analysis's feature ranking should be reconciled with the Data Science track's own model-based feature importance once their Week 6 model is finalised.</w:t>
      </w:r>
    </w:p>
    <w:p>
      <w:pPr>
        <w:pStyle w:val="Heading1"/>
        <w:spacing w:after="120" w:before="280"/>
      </w:pPr>
      <w:r>
        <w:t xml:space="preserve">12. Contribution to the Overall HealthConnect Project</w:t>
      </w:r>
    </w:p>
    <w:p>
      <w:pPr>
        <w:spacing w:after="120"/>
      </w:pPr>
      <w:r>
        <w:t xml:space="preserve">This week moved the Data Analytics track's contribution from descriptive insight to decision-ready, statistically validated evidence — including a concrete artefact now available to the Data Science track — and surfaced a new high-priority patient segment (the compounded lead-time/history risk group) that had not previously been identified anywhere in the project.</w:t>
      </w:r>
    </w:p>
    <w:p>
      <w:pPr>
        <w:pStyle w:val="Heading1"/>
        <w:spacing w:after="120" w:before="280"/>
      </w:pPr>
      <w:r>
        <w:t xml:space="preserve">13. Proposed Focus for Week 7</w:t>
      </w:r>
    </w:p>
    <w:p>
      <w:pPr>
        <w:spacing w:after="120"/>
      </w:pPr>
      <w:r>
        <w:t xml:space="preserve">Design a controlled test (e.g. A/B test) for the proposed mid-point reminder intervention, reconcile this week's feature ranking with the Data Science track's finalised model, and revisit the interaction analysis with additional data to strengthen confidence in the smallest sample cells.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20" w:before="28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2026-09-09T08:04:13.900Z</dcterms:created>
  <dcterms:modified xsi:type="dcterms:W3CDTF">2026-09-09T08:04:13.912Z</dcterms:modified>
</cp:coreProperties>
</file>

<file path=docProps/custom.xml><?xml version="1.0" encoding="utf-8"?>
<Properties xmlns="http://schemas.openxmlformats.org/officeDocument/2006/custom-properties" xmlns:vt="http://schemas.openxmlformats.org/officeDocument/2006/docPropsVTypes"/>
</file>