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2"/>
          <w:szCs w:val="22"/>
        </w:rPr>
        <w:t xml:space="preserve">ANALYSTLAB AFRICA</w:t>
      </w:r>
    </w:p>
    <w:p>
      <w:pPr>
        <w:spacing w:after="40"/>
      </w:pPr>
      <w:r>
        <w:rPr>
          <w:color w:val="595959"/>
          <w:sz w:val="20"/>
          <w:szCs w:val="20"/>
        </w:rPr>
        <w:t xml:space="preserve">HealthConnect Clinic Experience Lab — Data Analytics Track</w:t>
      </w:r>
    </w:p>
    <w:p>
      <w:pPr>
        <w:spacing w:after="220"/>
      </w:pPr>
      <w:r>
        <w:rPr>
          <w:b/>
          <w:bCs/>
          <w:color w:val="1F3864"/>
          <w:sz w:val="32"/>
          <w:szCs w:val="32"/>
        </w:rPr>
        <w:t xml:space="preserve">Final Executive Summary</w:t>
      </w:r>
    </w:p>
    <w:p>
      <w:pPr>
        <w:spacing w:after="130"/>
      </w:pPr>
      <w:r>
        <w:t xml:space="preserve">HealthConnect Clinic loses nearly half of its scheduled appointments to no-shows. Over four weeks of analysis, testing, and validation, the Data Analytics track identified the strongest drivers of this problem, validated them statistically, caught and corrected a real error along the way, and confirmed the resulting recommendations are backed by evidence a business audience can act on with confidence.</w:t>
      </w:r>
    </w:p>
    <w:p>
      <w:pPr>
        <w:pStyle w:val="Heading1"/>
        <w:spacing w:after="120" w:before="260"/>
      </w:pPr>
      <w:r>
        <w:t xml:space="preserve">The Headline Number</w:t>
      </w:r>
    </w:p>
    <w:p>
      <w:pPr>
        <w:spacing w:after="130"/>
      </w:pPr>
      <w:r>
        <w:t xml:space="preserve">48.46% of all 5,000 appointments in the dataset ended in a No-Show — confirming this is a large-scale, systemic problem rather than an edge case.</w:t>
      </w:r>
    </w:p>
    <w:p>
      <w:pPr>
        <w:pStyle w:val="Heading1"/>
        <w:spacing w:after="120" w:before="260"/>
      </w:pPr>
      <w:r>
        <w:t xml:space="preserve">What Drives No-Shows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00"/>
      </w:tblGrid>
      <w:t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Driver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Effect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Confidence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Booking lead time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No-show rate rises from 28% (booked within a week) to 60%+ (booked 31-60 days out)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Statistically confirmed, holds across patient segments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Prior no-show history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No-show rate rises from 43.5% (no history) to 68.8% (3+ prior no-shows)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Statistically confirmed, holds across appointment types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Both combined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Patients with both risk factors show the highest no-show rates in the dataset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Confirmed pattern; smallest sub-group needs more data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Reminder sent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47.4% no-show rate with a reminder vs. 51.4% without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Statistically confirmed, modest effect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Distance to clinic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Small but genuine independent effect once other factors are accounted for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Confirmed in multivariate testing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Waiting time / appointment type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meaningful effect on attendance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Confirmed across two independent testing rounds</w:t>
            </w:r>
          </w:p>
        </w:tc>
      </w:tr>
    </w:tbl>
    <w:p>
      <w:pPr>
        <w:spacing w:after="130"/>
      </w:pPr>
      <w:r>
        <w:t xml:space="preserve"/>
      </w:r>
    </w:p>
    <w:p>
      <w:pPr>
        <w:pStyle w:val="Heading1"/>
        <w:spacing w:after="120" w:before="260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Add a mid-point reminder — not just a day-before one — for appointments booked more than 14 days in advance.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Flag patients with both a long lead time and a history of no-shows for phone-based confirmation instead of SMS/WhatsApp.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Close the reminder coverage gap — currently only 72.7% of appointments receive a reminder at all.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 not prioritise clinic-location or wait-time changes for no-show reduction specifically — confirmed to have no meaningful effect.</w:t>
      </w:r>
    </w:p>
    <w:p>
      <w:pPr>
        <w:pStyle w:val="Heading1"/>
        <w:spacing w:after="120" w:before="260"/>
      </w:pPr>
      <w:r>
        <w:t xml:space="preserve">A Note on Rigor</w:t>
      </w:r>
    </w:p>
    <w:p>
      <w:pPr>
        <w:spacing w:after="130"/>
      </w:pPr>
      <w:r>
        <w:t xml:space="preserve">This isn't a first-pass analysis. Every finding was independently re-tested a week after it was first produced. That re-testing caught a real mistake — a variable initially reported as a significant driver of no-shows was not — and the correction was made transparently rather than left unnoticed. The two recommended interventions above were also validated in a live predictive-modelling comparison, not just judged “statistically significant” on paper.</w:t>
      </w:r>
    </w:p>
    <w:p>
      <w:pPr>
        <w:pStyle w:val="Heading1"/>
        <w:spacing w:after="120" w:before="260"/>
      </w:pPr>
      <w:r>
        <w:t xml:space="preserve">Limitations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Findings show association, not proven causation — a controlled pilot is recommended before full rollout.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dataset is fictional; conclusions should be validated against real clinic data before operational use.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highest-risk patient segment identified is based on a small sample and should be treated as directional, not precise.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20" w:before="26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2026-09-27T06:54:08.792Z</dcterms:created>
  <dcterms:modified xsi:type="dcterms:W3CDTF">2026-09-27T06:54:08.792Z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