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6"/>
          <w:szCs w:val="26"/>
        </w:rPr>
        <w:t xml:space="preserve">THE CATHOLIC UNIVERSITY OF EASTERN AFRICA</w:t>
      </w:r>
    </w:p>
    <w:p>
      <w:pPr>
        <w:spacing w:after="100"/>
        <w:jc w:val="center"/>
      </w:pPr>
      <w:r>
        <w:rPr>
          <w:rFonts w:ascii="Calibri" w:cs="Calibri" w:eastAsia="Calibri" w:hAnsi="Calibri"/>
          <w:b/>
          <w:bCs/>
          <w:sz w:val="23"/>
          <w:szCs w:val="23"/>
        </w:rPr>
        <w:t xml:space="preserve">FACULTY OF ARTS AND SOCIAL SCIENCES</w:t>
      </w:r>
    </w:p>
    <w:p>
      <w:pPr>
        <w:spacing w:after="600"/>
        <w:jc w:val="center"/>
      </w:pPr>
      <w:r>
        <w:rPr>
          <w:rFonts w:ascii="Calibri" w:cs="Calibri" w:eastAsia="Calibri" w:hAnsi="Calibri"/>
          <w:b/>
          <w:bCs/>
          <w:sz w:val="23"/>
          <w:szCs w:val="23"/>
        </w:rPr>
        <w:t xml:space="preserve">DEPARTMENT OF SOCIAL SCIENCES AND DEVELOPMENT STUDIES</w:t>
      </w:r>
    </w:p>
    <w:p>
      <w:pPr>
        <w:spacing w:after="600"/>
        <w:jc w:val="center"/>
      </w:pPr>
      <w:r>
        <w:rPr>
          <w:rFonts w:ascii="Calibri" w:cs="Calibri" w:eastAsia="Calibri" w:hAnsi="Calibri"/>
          <w:b/>
          <w:bCs/>
          <w:color w:val="1F3A5F"/>
          <w:sz w:val="28"/>
          <w:szCs w:val="28"/>
        </w:rPr>
        <w:t xml:space="preserve">ASSESSMENT OF KENYA'S CURRENT INSECURITY CHALLENGES: A CASE STUDY OF SECURITY CHALLENGES IN GARISSA COUNTY</w:t>
      </w:r>
    </w:p>
    <w:p>
      <w:pPr>
        <w:spacing w:after="100"/>
        <w:jc w:val="center"/>
      </w:pPr>
      <w:r>
        <w:rPr>
          <w:rFonts w:ascii="Calibri" w:cs="Calibri" w:eastAsia="Calibri" w:hAnsi="Calibri"/>
          <w:b/>
          <w:bCs/>
          <w:sz w:val="24"/>
          <w:szCs w:val="24"/>
        </w:rPr>
        <w:t xml:space="preserve">ZIEBI KOFA MARO</w:t>
      </w:r>
    </w:p>
    <w:p>
      <w:pPr>
        <w:spacing w:after="600"/>
        <w:jc w:val="center"/>
      </w:pPr>
      <w:r>
        <w:rPr>
          <w:rFonts w:ascii="Calibri" w:cs="Calibri" w:eastAsia="Calibri" w:hAnsi="Calibri"/>
          <w:sz w:val="23"/>
          <w:szCs w:val="23"/>
        </w:rPr>
        <w:t xml:space="preserve">REG. NO: 1037518</w:t>
      </w:r>
    </w:p>
    <w:p>
      <w:pPr>
        <w:spacing w:after="600"/>
        <w:jc w:val="center"/>
      </w:pPr>
      <w:r>
        <w:rPr>
          <w:rFonts w:ascii="Calibri" w:cs="Calibri" w:eastAsia="Calibri" w:hAnsi="Calibri"/>
          <w:i/>
          <w:iCs/>
          <w:sz w:val="22"/>
          <w:szCs w:val="22"/>
        </w:rPr>
        <w:t xml:space="preserve">A Research Project Submitted in Partial Fulfillment of the Requirements for the Award of Bachelor of Arts Degree in Political Science.</w:t>
      </w:r>
    </w:p>
    <w:p>
      <w:pPr>
        <w:spacing w:after="100"/>
        <w:jc w:val="center"/>
      </w:pPr>
      <w:r>
        <w:rPr>
          <w:rFonts w:ascii="Calibri" w:cs="Calibri" w:eastAsia="Calibri" w:hAnsi="Calibri"/>
          <w:b/>
          <w:bCs/>
          <w:sz w:val="23"/>
          <w:szCs w:val="23"/>
        </w:rPr>
        <w:t xml:space="preserve">AUGUST, 2023</w:t>
      </w:r>
    </w:p>
    <w:p>
      <w:pPr>
        <w:spacing w:before="800"/>
        <w:jc w:val="center"/>
      </w:pPr>
      <w:r>
        <w:rPr>
          <w:rFonts w:ascii="Calibri" w:cs="Calibri" w:eastAsia="Calibri" w:hAnsi="Calibri"/>
          <w:i/>
          <w:iCs/>
          <w:color w:val="555555"/>
          <w:sz w:val="19"/>
          <w:szCs w:val="19"/>
        </w:rPr>
        <w:t xml:space="preserve">Portfolio edition — revised for quantitative-methods presentation,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A5F"/>
          <w:sz w:val="30"/>
          <w:szCs w:val="30"/>
        </w:rPr>
        <w:t xml:space="preserve">DECLARATION</w:t>
      </w:r>
    </w:p>
    <w:p>
      <w:pPr>
        <w:spacing w:after="200" w:line="300"/>
        <w:jc w:val="both"/>
      </w:pPr>
      <w:r>
        <w:rPr>
          <w:rFonts w:ascii="Calibri" w:cs="Calibri" w:eastAsia="Calibri" w:hAnsi="Calibri"/>
          <w:sz w:val="23"/>
          <w:szCs w:val="23"/>
        </w:rPr>
        <w:t xml:space="preserve">I, ZIEBI KOFA MARO, declare that this research project entitled “ASSESSMENT OF KENYA'S CURRENT INSECURITY CHALLENGES: A CASE STUDY OF SECURITY CHALLENGES IN GARISSA COUNTY” is my original work, and to the best of my knowledge has not been submitted at any other university or any other institution of learning for any academic award. All work sourced from other scholars and sources have been duly cited and acknowledged in this document.</w:t>
      </w:r>
    </w:p>
    <w:p>
      <w:pPr>
        <w:spacing w:after="300"/>
      </w:pPr>
    </w:p>
    <w:p>
      <w:pPr>
        <w:spacing w:after="200" w:line="300"/>
        <w:jc w:val="both"/>
      </w:pPr>
      <w:r>
        <w:rPr>
          <w:rFonts w:ascii="Calibri" w:cs="Calibri" w:eastAsia="Calibri" w:hAnsi="Calibri"/>
          <w:sz w:val="23"/>
          <w:szCs w:val="23"/>
        </w:rPr>
        <w:t xml:space="preserve">Name: ZIEBI KOFA MARO      Registration number: 1037518</w:t>
      </w:r>
    </w:p>
    <w:p>
      <w:pPr>
        <w:spacing w:after="200" w:line="300"/>
        <w:jc w:val="both"/>
      </w:pPr>
      <w:r>
        <w:rPr>
          <w:rFonts w:ascii="Calibri" w:cs="Calibri" w:eastAsia="Calibri" w:hAnsi="Calibri"/>
          <w:sz w:val="23"/>
          <w:szCs w:val="23"/>
        </w:rPr>
        <w:t xml:space="preserve">Signature…………………………………...      Date…………………</w:t>
      </w:r>
    </w:p>
    <w:p>
      <w:pPr>
        <w:spacing w:after="300"/>
      </w:pPr>
    </w:p>
    <w:p>
      <w:pPr>
        <w:spacing w:after="200" w:line="300"/>
        <w:jc w:val="both"/>
      </w:pPr>
      <w:r>
        <w:rPr>
          <w:rFonts w:ascii="Calibri" w:cs="Calibri" w:eastAsia="Calibri" w:hAnsi="Calibri"/>
          <w:sz w:val="23"/>
          <w:szCs w:val="23"/>
        </w:rPr>
        <w:t xml:space="preserve">This research has been submitted for examination with my approval as the University Supervisor and Head of Department.</w:t>
      </w:r>
    </w:p>
    <w:p>
      <w:pPr>
        <w:spacing w:after="200"/>
      </w:pPr>
    </w:p>
    <w:p>
      <w:pPr>
        <w:spacing w:after="200" w:line="300"/>
        <w:jc w:val="both"/>
      </w:pPr>
      <w:r>
        <w:rPr>
          <w:rFonts w:ascii="Calibri" w:cs="Calibri" w:eastAsia="Calibri" w:hAnsi="Calibri"/>
          <w:sz w:val="23"/>
          <w:szCs w:val="23"/>
        </w:rPr>
        <w:t xml:space="preserve">SUPERVISOR: MR Dickson Nyandiga</w:t>
      </w:r>
    </w:p>
    <w:p>
      <w:pPr>
        <w:spacing w:after="200" w:line="300"/>
        <w:jc w:val="both"/>
      </w:pPr>
      <w:r>
        <w:rPr>
          <w:rFonts w:ascii="Calibri" w:cs="Calibri" w:eastAsia="Calibri" w:hAnsi="Calibri"/>
          <w:sz w:val="23"/>
          <w:szCs w:val="23"/>
        </w:rPr>
        <w:t xml:space="preserve">Signature…………………………………...      Date…………………</w:t>
      </w:r>
    </w:p>
    <w:p>
      <w:pPr>
        <w:spacing w:after="200"/>
      </w:pPr>
    </w:p>
    <w:p>
      <w:pPr>
        <w:spacing w:after="200" w:line="300"/>
        <w:jc w:val="both"/>
      </w:pPr>
      <w:r>
        <w:rPr>
          <w:rFonts w:ascii="Calibri" w:cs="Calibri" w:eastAsia="Calibri" w:hAnsi="Calibri"/>
          <w:sz w:val="23"/>
          <w:szCs w:val="23"/>
        </w:rPr>
        <w:t xml:space="preserve">HOD: DR. MARY MUTISYA</w:t>
      </w:r>
    </w:p>
    <w:p>
      <w:pPr>
        <w:spacing w:after="200" w:line="300"/>
        <w:jc w:val="both"/>
      </w:pPr>
      <w:r>
        <w:rPr>
          <w:rFonts w:ascii="Calibri" w:cs="Calibri" w:eastAsia="Calibri" w:hAnsi="Calibri"/>
          <w:sz w:val="23"/>
          <w:szCs w:val="23"/>
        </w:rPr>
        <w:t xml:space="preserve">Signature…………………………………...      Date…………………</w:t>
      </w:r>
    </w:p>
    <w:p>
      <w:r>
        <w:br w:type="page"/>
      </w:r>
    </w:p>
    <w:p>
      <w:pPr>
        <w:pStyle w:val="Heading1"/>
        <w:spacing w:after="200" w:before="400"/>
      </w:pPr>
      <w:r>
        <w:rPr>
          <w:rFonts w:ascii="Calibri" w:cs="Calibri" w:eastAsia="Calibri" w:hAnsi="Calibri"/>
          <w:b/>
          <w:bCs/>
          <w:color w:val="1F3A5F"/>
          <w:sz w:val="30"/>
          <w:szCs w:val="30"/>
        </w:rPr>
        <w:t xml:space="preserve">DEDICATION</w:t>
      </w:r>
    </w:p>
    <w:p>
      <w:pPr>
        <w:spacing w:after="200" w:line="300"/>
        <w:jc w:val="both"/>
      </w:pPr>
      <w:r>
        <w:rPr>
          <w:rFonts w:ascii="Calibri" w:cs="Calibri" w:eastAsia="Calibri" w:hAnsi="Calibri"/>
          <w:sz w:val="23"/>
          <w:szCs w:val="23"/>
        </w:rPr>
        <w:t xml:space="preserve">I would like to dedicate this research to my mother Hadija Mumbo. Thank you so much for everything! Words can hardly describe my thanks and appreciation to you. You have been my source of inspiration, support, and guidance. You have taught me to be unique, determined, to believe in myself, and to always persevere. I am truly thankful and honored to have you.</w:t>
      </w:r>
    </w:p>
    <w:p>
      <w:pPr>
        <w:spacing w:after="200" w:line="300"/>
        <w:jc w:val="both"/>
      </w:pPr>
      <w:r>
        <w:rPr>
          <w:rFonts w:ascii="Calibri" w:cs="Calibri" w:eastAsia="Calibri" w:hAnsi="Calibri"/>
          <w:sz w:val="23"/>
          <w:szCs w:val="23"/>
        </w:rPr>
        <w:t xml:space="preserve">To borrow the sentiment expressed by Albert Schweitzer: at times our own light goes out and is rekindled by a spark from another person, and each of us has cause to think with deep gratitude of those who have lighted the flame within us. You have been that spark for me when my light blew out. Thank you for your unwavering love and support along this journey I have taken. I love you always and forever.</w:t>
      </w:r>
    </w:p>
    <w:p>
      <w:r>
        <w:br w:type="page"/>
      </w:r>
    </w:p>
    <w:p>
      <w:pPr>
        <w:pStyle w:val="Heading1"/>
        <w:spacing w:after="200" w:before="400"/>
      </w:pPr>
      <w:r>
        <w:rPr>
          <w:rFonts w:ascii="Calibri" w:cs="Calibri" w:eastAsia="Calibri" w:hAnsi="Calibri"/>
          <w:b/>
          <w:bCs/>
          <w:color w:val="1F3A5F"/>
          <w:sz w:val="30"/>
          <w:szCs w:val="30"/>
        </w:rPr>
        <w:t xml:space="preserve">ACKNOWLEDGEMENT</w:t>
      </w:r>
    </w:p>
    <w:p>
      <w:pPr>
        <w:spacing w:after="200" w:line="300"/>
        <w:jc w:val="both"/>
      </w:pPr>
      <w:r>
        <w:rPr>
          <w:rFonts w:ascii="Calibri" w:cs="Calibri" w:eastAsia="Calibri" w:hAnsi="Calibri"/>
          <w:sz w:val="23"/>
          <w:szCs w:val="23"/>
        </w:rPr>
        <w:t xml:space="preserve">This thesis is the result of my passion for education and years of studying. However, it would never have been possible without the support, encouragement, and advice of many people who helped me by providing both academic guidance and moral support, and who played a substantial role in the completion of the study.</w:t>
      </w:r>
    </w:p>
    <w:p>
      <w:pPr>
        <w:spacing w:after="200" w:line="300"/>
        <w:jc w:val="both"/>
      </w:pPr>
      <w:r>
        <w:rPr>
          <w:rFonts w:ascii="Calibri" w:cs="Calibri" w:eastAsia="Calibri" w:hAnsi="Calibri"/>
          <w:sz w:val="23"/>
          <w:szCs w:val="23"/>
        </w:rPr>
        <w:t xml:space="preserve">Special gratitude goes to my lecturers and colleagues at The Catholic University of Eastern Africa. I am extremely grateful to my supervisor, Mr. Dickson Nyandiga, who advised me throughout the study. I have gained tremendous insight into the contributions of insecurity in Garissa County, Kenya, and I deeply appreciate him for granting me a unique mixture of academic freedom and guidance.</w:t>
      </w:r>
    </w:p>
    <w:p>
      <w:pPr>
        <w:spacing w:after="200" w:line="300"/>
        <w:jc w:val="both"/>
      </w:pPr>
      <w:r>
        <w:rPr>
          <w:rFonts w:ascii="Calibri" w:cs="Calibri" w:eastAsia="Calibri" w:hAnsi="Calibri"/>
          <w:sz w:val="23"/>
          <w:szCs w:val="23"/>
        </w:rPr>
        <w:t xml:space="preserve">Finally, and most of all, I would like to thank my family for their love, encouragement, and unlimited belief in me.</w:t>
      </w:r>
    </w:p>
    <w:p>
      <w:r>
        <w:br w:type="page"/>
      </w:r>
    </w:p>
    <w:p>
      <w:pPr>
        <w:pStyle w:val="Heading1"/>
        <w:spacing w:after="200" w:before="400"/>
      </w:pPr>
      <w:r>
        <w:rPr>
          <w:rFonts w:ascii="Calibri" w:cs="Calibri" w:eastAsia="Calibri" w:hAnsi="Calibri"/>
          <w:b/>
          <w:bCs/>
          <w:color w:val="1F3A5F"/>
          <w:sz w:val="30"/>
          <w:szCs w:val="30"/>
        </w:rPr>
        <w:t xml:space="preserve">ABBREVIATIONS</w:t>
      </w:r>
    </w:p>
    <w:p>
      <w:pPr>
        <w:pStyle w:val="ListParagraph"/>
        <w:numPr>
          <w:ilvl w:val="0"/>
          <w:numId w:val="1"/>
        </w:numPr>
        <w:spacing w:after="120"/>
      </w:pPr>
      <w:r>
        <w:rPr>
          <w:rFonts w:ascii="Calibri" w:cs="Calibri" w:eastAsia="Calibri" w:hAnsi="Calibri"/>
          <w:sz w:val="23"/>
          <w:szCs w:val="23"/>
        </w:rPr>
        <w:t xml:space="preserve">AMISOM – African Union Mission in Somalia</w:t>
      </w:r>
    </w:p>
    <w:p>
      <w:pPr>
        <w:pStyle w:val="ListParagraph"/>
        <w:numPr>
          <w:ilvl w:val="0"/>
          <w:numId w:val="1"/>
        </w:numPr>
        <w:spacing w:after="120"/>
      </w:pPr>
      <w:r>
        <w:rPr>
          <w:rFonts w:ascii="Calibri" w:cs="Calibri" w:eastAsia="Calibri" w:hAnsi="Calibri"/>
          <w:sz w:val="23"/>
          <w:szCs w:val="23"/>
        </w:rPr>
        <w:t xml:space="preserve">ATPU – Anti-Terror Police Unit</w:t>
      </w:r>
    </w:p>
    <w:p>
      <w:pPr>
        <w:pStyle w:val="ListParagraph"/>
        <w:numPr>
          <w:ilvl w:val="0"/>
          <w:numId w:val="1"/>
        </w:numPr>
        <w:spacing w:after="120"/>
      </w:pPr>
      <w:r>
        <w:rPr>
          <w:rFonts w:ascii="Calibri" w:cs="Calibri" w:eastAsia="Calibri" w:hAnsi="Calibri"/>
          <w:sz w:val="23"/>
          <w:szCs w:val="23"/>
        </w:rPr>
        <w:t xml:space="preserve">BBC – British Broadcasting Corporation</w:t>
      </w:r>
    </w:p>
    <w:p>
      <w:pPr>
        <w:pStyle w:val="ListParagraph"/>
        <w:numPr>
          <w:ilvl w:val="0"/>
          <w:numId w:val="1"/>
        </w:numPr>
        <w:spacing w:after="120"/>
      </w:pPr>
      <w:r>
        <w:rPr>
          <w:rFonts w:ascii="Calibri" w:cs="Calibri" w:eastAsia="Calibri" w:hAnsi="Calibri"/>
          <w:sz w:val="23"/>
          <w:szCs w:val="23"/>
        </w:rPr>
        <w:t xml:space="preserve">FGD – Focus Group Discussion</w:t>
      </w:r>
    </w:p>
    <w:p>
      <w:pPr>
        <w:pStyle w:val="ListParagraph"/>
        <w:numPr>
          <w:ilvl w:val="0"/>
          <w:numId w:val="1"/>
        </w:numPr>
        <w:spacing w:after="120"/>
      </w:pPr>
      <w:r>
        <w:rPr>
          <w:rFonts w:ascii="Calibri" w:cs="Calibri" w:eastAsia="Calibri" w:hAnsi="Calibri"/>
          <w:sz w:val="23"/>
          <w:szCs w:val="23"/>
        </w:rPr>
        <w:t xml:space="preserve">ISS – Institute for Security Studies</w:t>
      </w:r>
    </w:p>
    <w:p>
      <w:pPr>
        <w:pStyle w:val="ListParagraph"/>
        <w:numPr>
          <w:ilvl w:val="0"/>
          <w:numId w:val="1"/>
        </w:numPr>
        <w:spacing w:after="120"/>
      </w:pPr>
      <w:r>
        <w:rPr>
          <w:rFonts w:ascii="Calibri" w:cs="Calibri" w:eastAsia="Calibri" w:hAnsi="Calibri"/>
          <w:sz w:val="23"/>
          <w:szCs w:val="23"/>
        </w:rPr>
        <w:t xml:space="preserve">KNCHR – Kenya National Commission on Human Rights</w:t>
      </w:r>
    </w:p>
    <w:p>
      <w:pPr>
        <w:pStyle w:val="ListParagraph"/>
        <w:numPr>
          <w:ilvl w:val="0"/>
          <w:numId w:val="1"/>
        </w:numPr>
        <w:spacing w:after="120"/>
      </w:pPr>
      <w:r>
        <w:rPr>
          <w:rFonts w:ascii="Calibri" w:cs="Calibri" w:eastAsia="Calibri" w:hAnsi="Calibri"/>
          <w:sz w:val="23"/>
          <w:szCs w:val="23"/>
        </w:rPr>
        <w:t xml:space="preserve">RRU – Rapid Response Unit</w:t>
      </w:r>
    </w:p>
    <w:p>
      <w:pPr>
        <w:pStyle w:val="ListParagraph"/>
        <w:numPr>
          <w:ilvl w:val="0"/>
          <w:numId w:val="1"/>
        </w:numPr>
        <w:spacing w:after="120"/>
      </w:pPr>
      <w:r>
        <w:rPr>
          <w:rFonts w:ascii="Calibri" w:cs="Calibri" w:eastAsia="Calibri" w:hAnsi="Calibri"/>
          <w:sz w:val="23"/>
          <w:szCs w:val="23"/>
        </w:rPr>
        <w:t xml:space="preserve">SPSS – Statistical Package for the Social Sciences</w:t>
      </w:r>
    </w:p>
    <w:p>
      <w:pPr>
        <w:pStyle w:val="ListParagraph"/>
        <w:numPr>
          <w:ilvl w:val="0"/>
          <w:numId w:val="1"/>
        </w:numPr>
        <w:spacing w:after="120"/>
      </w:pPr>
      <w:r>
        <w:rPr>
          <w:rFonts w:ascii="Calibri" w:cs="Calibri" w:eastAsia="Calibri" w:hAnsi="Calibri"/>
          <w:sz w:val="23"/>
          <w:szCs w:val="23"/>
        </w:rPr>
        <w:t xml:space="preserve">UNICEF – United Nations Children's Fund</w:t>
      </w:r>
    </w:p>
    <w:p>
      <w:r>
        <w:br w:type="page"/>
      </w:r>
    </w:p>
    <w:p>
      <w:pPr>
        <w:pStyle w:val="Heading1"/>
        <w:spacing w:after="200" w:before="400"/>
      </w:pPr>
      <w:r>
        <w:rPr>
          <w:rFonts w:ascii="Calibri" w:cs="Calibri" w:eastAsia="Calibri" w:hAnsi="Calibri"/>
          <w:b/>
          <w:bCs/>
          <w:color w:val="1F3A5F"/>
          <w:sz w:val="30"/>
          <w:szCs w:val="30"/>
        </w:rPr>
        <w:t xml:space="preserve">ABSTRACT</w:t>
      </w:r>
    </w:p>
    <w:p>
      <w:pPr>
        <w:spacing w:after="200" w:line="300"/>
        <w:jc w:val="both"/>
      </w:pPr>
      <w:r>
        <w:rPr>
          <w:rFonts w:ascii="Calibri" w:cs="Calibri" w:eastAsia="Calibri" w:hAnsi="Calibri"/>
          <w:sz w:val="23"/>
          <w:szCs w:val="23"/>
        </w:rPr>
        <w:t xml:space="preserve">Kenya, like many countries in the region, grapples with security challenges that hinder social stability, economic development, and the well-being of its citizens. Garissa County, in the northeastern part of the country, has been particularly affected by insecurity ranging from terrorism and inter-communal conflict to banditry and cross-border threats. This study assesses Kenya's current insecurity challenges with a focus on Garissa County, examining underlying causes and potential solutions.</w:t>
      </w:r>
    </w:p>
    <w:p>
      <w:pPr>
        <w:spacing w:after="200" w:line="300"/>
        <w:jc w:val="both"/>
      </w:pPr>
      <w:r>
        <w:rPr>
          <w:rFonts w:ascii="Calibri" w:cs="Calibri" w:eastAsia="Calibri" w:hAnsi="Calibri"/>
          <w:sz w:val="23"/>
          <w:szCs w:val="23"/>
        </w:rPr>
        <w:t xml:space="preserve">The research used a mixed-methods design: semi-structured key informant interviews and focus group discussions provided qualitative depth, while a structured questionnaire administered to 400 respondents (397 valid responses, drawn via quota sampling across five sub-counties) provided quantitative description of the respondent population and, in this revised edition, a formal statistical test of association between respondent age and gender.</w:t>
      </w:r>
    </w:p>
    <w:p>
      <w:pPr>
        <w:spacing w:after="200" w:line="300"/>
        <w:jc w:val="both"/>
      </w:pPr>
      <w:r>
        <w:rPr>
          <w:rFonts w:ascii="Calibri" w:cs="Calibri" w:eastAsia="Calibri" w:hAnsi="Calibri"/>
          <w:sz w:val="23"/>
          <w:szCs w:val="23"/>
        </w:rPr>
        <w:t xml:space="preserve">Findings show that Garissa County faces a complex web of insecurity challenges, with terrorism and extremism significant contributors alongside historical marginalization, ethnic tension, and socio-economic disparity. External influences from neighbouring Somalia were found to weigh heavily on the county's security climate. Law enforcement and security forces were found to face real capacity and resourcing constraints despite ongoing efforts, while community resilience emerged as a significant mitigating factor.</w:t>
      </w:r>
    </w:p>
    <w:p>
      <w:pPr>
        <w:spacing w:after="200" w:line="300"/>
        <w:jc w:val="both"/>
      </w:pPr>
      <w:r>
        <w:rPr>
          <w:rFonts w:ascii="Calibri" w:cs="Calibri" w:eastAsia="Calibri" w:hAnsi="Calibri"/>
          <w:sz w:val="23"/>
          <w:szCs w:val="23"/>
        </w:rPr>
        <w:t xml:space="preserve">The study proposes a multi-dimensional response: a comprehensive counter-terrorism strategy, socio-economic investment, community-driven resilience programming, and stronger cross-border intelligence cooperation with Somalia. It contributes to the evidence base available to policymakers, security agencies, and community leaders working toward a safer Garissa County.</w:t>
      </w:r>
    </w:p>
    <w:p>
      <w:r>
        <w:br w:type="page"/>
      </w:r>
    </w:p>
    <w:p>
      <w:pPr>
        <w:pStyle w:val="Heading1"/>
        <w:spacing w:after="200"/>
      </w:pPr>
      <w:r>
        <w:rPr>
          <w:rFonts w:ascii="Calibri" w:cs="Calibri" w:eastAsia="Calibri" w:hAnsi="Calibri"/>
          <w:b/>
          <w:bCs/>
          <w:color w:val="1F3A5F"/>
          <w:sz w:val="30"/>
          <w:szCs w:val="30"/>
        </w:rPr>
        <w:t xml:space="preserve">TABLE OF CONTENTS</w:t>
      </w:r>
    </w:p>
    <w:p>
      <w:pPr>
        <w:tabs>
          <w:tab w:val="right" w:pos="9350" w:leader="dot"/>
        </w:tabs>
        <w:spacing w:after="140"/>
        <w:ind w:left="0"/>
      </w:pPr>
      <w:r>
        <w:rPr>
          <w:rFonts w:ascii="Calibri" w:cs="Calibri" w:eastAsia="Calibri" w:hAnsi="Calibri"/>
          <w:b/>
          <w:bCs/>
          <w:color w:val="1F3A5F"/>
          <w:sz w:val="24"/>
          <w:szCs w:val="24"/>
        </w:rPr>
        <w:t xml:space="preserve">Declaration	2</w:t>
      </w:r>
    </w:p>
    <w:p>
      <w:pPr>
        <w:tabs>
          <w:tab w:val="right" w:pos="9350" w:leader="dot"/>
        </w:tabs>
        <w:spacing w:after="140"/>
        <w:ind w:left="0"/>
      </w:pPr>
      <w:r>
        <w:rPr>
          <w:rFonts w:ascii="Calibri" w:cs="Calibri" w:eastAsia="Calibri" w:hAnsi="Calibri"/>
          <w:b/>
          <w:bCs/>
          <w:color w:val="1F3A5F"/>
          <w:sz w:val="24"/>
          <w:szCs w:val="24"/>
        </w:rPr>
        <w:t xml:space="preserve">Dedication	3</w:t>
      </w:r>
    </w:p>
    <w:p>
      <w:pPr>
        <w:tabs>
          <w:tab w:val="right" w:pos="9350" w:leader="dot"/>
        </w:tabs>
        <w:spacing w:after="140"/>
        <w:ind w:left="0"/>
      </w:pPr>
      <w:r>
        <w:rPr>
          <w:rFonts w:ascii="Calibri" w:cs="Calibri" w:eastAsia="Calibri" w:hAnsi="Calibri"/>
          <w:b/>
          <w:bCs/>
          <w:color w:val="1F3A5F"/>
          <w:sz w:val="24"/>
          <w:szCs w:val="24"/>
        </w:rPr>
        <w:t xml:space="preserve">Acknowledgement	4</w:t>
      </w:r>
    </w:p>
    <w:p>
      <w:pPr>
        <w:tabs>
          <w:tab w:val="right" w:pos="9350" w:leader="dot"/>
        </w:tabs>
        <w:spacing w:after="140"/>
        <w:ind w:left="0"/>
      </w:pPr>
      <w:r>
        <w:rPr>
          <w:rFonts w:ascii="Calibri" w:cs="Calibri" w:eastAsia="Calibri" w:hAnsi="Calibri"/>
          <w:b/>
          <w:bCs/>
          <w:color w:val="1F3A5F"/>
          <w:sz w:val="24"/>
          <w:szCs w:val="24"/>
        </w:rPr>
        <w:t xml:space="preserve">Abbreviations	5</w:t>
      </w:r>
    </w:p>
    <w:p>
      <w:pPr>
        <w:tabs>
          <w:tab w:val="right" w:pos="9350" w:leader="dot"/>
        </w:tabs>
        <w:spacing w:after="140"/>
        <w:ind w:left="0"/>
      </w:pPr>
      <w:r>
        <w:rPr>
          <w:rFonts w:ascii="Calibri" w:cs="Calibri" w:eastAsia="Calibri" w:hAnsi="Calibri"/>
          <w:b/>
          <w:bCs/>
          <w:color w:val="1F3A5F"/>
          <w:sz w:val="24"/>
          <w:szCs w:val="24"/>
        </w:rPr>
        <w:t xml:space="preserve">Abstract	6</w:t>
      </w:r>
    </w:p>
    <w:p>
      <w:pPr>
        <w:tabs>
          <w:tab w:val="right" w:pos="9350" w:leader="dot"/>
        </w:tabs>
        <w:spacing w:after="140"/>
        <w:ind w:left="0"/>
      </w:pPr>
      <w:r>
        <w:rPr>
          <w:rFonts w:ascii="Calibri" w:cs="Calibri" w:eastAsia="Calibri" w:hAnsi="Calibri"/>
          <w:b/>
          <w:bCs/>
          <w:color w:val="1F3A5F"/>
          <w:sz w:val="24"/>
          <w:szCs w:val="24"/>
        </w:rPr>
        <w:t xml:space="preserve">Chapter One: Introduction	8</w:t>
      </w:r>
    </w:p>
    <w:p>
      <w:pPr>
        <w:tabs>
          <w:tab w:val="right" w:pos="9350" w:leader="dot"/>
        </w:tabs>
        <w:spacing w:after="140"/>
        <w:ind w:left="0"/>
      </w:pPr>
      <w:r>
        <w:rPr>
          <w:rFonts w:ascii="Calibri" w:cs="Calibri" w:eastAsia="Calibri" w:hAnsi="Calibri"/>
          <w:b/>
          <w:bCs/>
          <w:color w:val="1F3A5F"/>
          <w:sz w:val="24"/>
          <w:szCs w:val="24"/>
        </w:rPr>
        <w:t xml:space="preserve">Chapter Two: Literature Review	13</w:t>
      </w:r>
    </w:p>
    <w:p>
      <w:pPr>
        <w:tabs>
          <w:tab w:val="right" w:pos="9350" w:leader="dot"/>
        </w:tabs>
        <w:spacing w:after="140"/>
        <w:ind w:left="0"/>
      </w:pPr>
      <w:r>
        <w:rPr>
          <w:rFonts w:ascii="Calibri" w:cs="Calibri" w:eastAsia="Calibri" w:hAnsi="Calibri"/>
          <w:b/>
          <w:bCs/>
          <w:color w:val="1F3A5F"/>
          <w:sz w:val="24"/>
          <w:szCs w:val="24"/>
        </w:rPr>
        <w:t xml:space="preserve">Chapter Three: Research Design and Methodology	15</w:t>
      </w:r>
    </w:p>
    <w:p>
      <w:pPr>
        <w:tabs>
          <w:tab w:val="right" w:pos="9350" w:leader="dot"/>
        </w:tabs>
        <w:spacing w:after="140"/>
        <w:ind w:left="0"/>
      </w:pPr>
      <w:r>
        <w:rPr>
          <w:rFonts w:ascii="Calibri" w:cs="Calibri" w:eastAsia="Calibri" w:hAnsi="Calibri"/>
          <w:b/>
          <w:bCs/>
          <w:color w:val="1F3A5F"/>
          <w:sz w:val="24"/>
          <w:szCs w:val="24"/>
        </w:rPr>
        <w:t xml:space="preserve">Chapter Four: Data Analysis and Findings	19</w:t>
      </w:r>
    </w:p>
    <w:p>
      <w:pPr>
        <w:tabs>
          <w:tab w:val="right" w:pos="9350" w:leader="dot"/>
        </w:tabs>
        <w:spacing w:after="90"/>
        <w:ind w:left="300"/>
      </w:pPr>
      <w:r>
        <w:rPr>
          <w:rFonts w:ascii="Calibri" w:cs="Calibri" w:eastAsia="Calibri" w:hAnsi="Calibri"/>
          <w:b w:val="false"/>
          <w:bCs w:val="false"/>
          <w:color w:val="222222"/>
          <w:sz w:val="22"/>
          <w:szCs w:val="22"/>
        </w:rPr>
        <w:t xml:space="preserve">     4.2.3 Age × Gender — Chi-Square Test of Independence	22</w:t>
      </w:r>
    </w:p>
    <w:p>
      <w:pPr>
        <w:tabs>
          <w:tab w:val="right" w:pos="9350" w:leader="dot"/>
        </w:tabs>
        <w:spacing w:after="140"/>
        <w:ind w:left="0"/>
      </w:pPr>
      <w:r>
        <w:rPr>
          <w:rFonts w:ascii="Calibri" w:cs="Calibri" w:eastAsia="Calibri" w:hAnsi="Calibri"/>
          <w:b/>
          <w:bCs/>
          <w:color w:val="1F3A5F"/>
          <w:sz w:val="24"/>
          <w:szCs w:val="24"/>
        </w:rPr>
        <w:t xml:space="preserve">Chapter Five: Summary, Conclusion and Recommendations	26</w:t>
      </w:r>
    </w:p>
    <w:p>
      <w:pPr>
        <w:tabs>
          <w:tab w:val="right" w:pos="9350" w:leader="dot"/>
        </w:tabs>
        <w:spacing w:after="140"/>
        <w:ind w:left="0"/>
      </w:pPr>
      <w:r>
        <w:rPr>
          <w:rFonts w:ascii="Calibri" w:cs="Calibri" w:eastAsia="Calibri" w:hAnsi="Calibri"/>
          <w:b/>
          <w:bCs/>
          <w:color w:val="1F3A5F"/>
          <w:sz w:val="24"/>
          <w:szCs w:val="24"/>
        </w:rPr>
        <w:t xml:space="preserve">References	28</w:t>
      </w:r>
    </w:p>
    <w:p>
      <w:pPr>
        <w:tabs>
          <w:tab w:val="right" w:pos="9350" w:leader="dot"/>
        </w:tabs>
        <w:spacing w:after="140"/>
        <w:ind w:left="0"/>
      </w:pPr>
      <w:r>
        <w:rPr>
          <w:rFonts w:ascii="Calibri" w:cs="Calibri" w:eastAsia="Calibri" w:hAnsi="Calibri"/>
          <w:b/>
          <w:bCs/>
          <w:color w:val="1F3A5F"/>
          <w:sz w:val="24"/>
          <w:szCs w:val="24"/>
        </w:rPr>
        <w:t xml:space="preserve">Appendix I: Focus Group Discussion Guide	30</w:t>
      </w:r>
    </w:p>
    <w:p>
      <w:pPr>
        <w:tabs>
          <w:tab w:val="right" w:pos="9350" w:leader="dot"/>
        </w:tabs>
        <w:spacing w:after="140"/>
        <w:ind w:left="0"/>
      </w:pPr>
      <w:r>
        <w:rPr>
          <w:rFonts w:ascii="Calibri" w:cs="Calibri" w:eastAsia="Calibri" w:hAnsi="Calibri"/>
          <w:b/>
          <w:bCs/>
          <w:color w:val="1F3A5F"/>
          <w:sz w:val="24"/>
          <w:szCs w:val="24"/>
        </w:rPr>
        <w:t xml:space="preserve">Appendix II: Interview Guide	32</w:t>
      </w:r>
    </w:p>
    <w:p>
      <w:pPr>
        <w:tabs>
          <w:tab w:val="right" w:pos="9350" w:leader="dot"/>
        </w:tabs>
        <w:spacing w:after="140"/>
        <w:ind w:left="0"/>
      </w:pPr>
      <w:r>
        <w:rPr>
          <w:rFonts w:ascii="Calibri" w:cs="Calibri" w:eastAsia="Calibri" w:hAnsi="Calibri"/>
          <w:b/>
          <w:bCs/>
          <w:color w:val="1F3A5F"/>
          <w:sz w:val="24"/>
          <w:szCs w:val="24"/>
        </w:rPr>
        <w:t xml:space="preserve">Appendix III: Supplementary Quantitative Analysis (Portfolio Demonstration)	33</w:t>
      </w:r>
    </w:p>
    <w:p>
      <w:pPr>
        <w:pageBreakBefore/>
      </w:pPr>
      <w:r>
        <w:rPr>
          <w:sz w:val="2"/>
          <w:szCs w:val="2"/>
        </w:rPr>
        <w:t xml:space="preserve"/>
      </w:r>
    </w:p>
    <w:p>
      <w:pPr>
        <w:pStyle w:val="Heading1"/>
        <w:spacing w:after="200" w:before="400"/>
      </w:pPr>
      <w:r>
        <w:rPr>
          <w:rFonts w:ascii="Calibri" w:cs="Calibri" w:eastAsia="Calibri" w:hAnsi="Calibri"/>
          <w:b/>
          <w:bCs/>
          <w:color w:val="1F3A5F"/>
          <w:sz w:val="30"/>
          <w:szCs w:val="30"/>
        </w:rPr>
        <w:t xml:space="preserve">CHAPTER ONE: INTRODUCTION</w:t>
      </w:r>
    </w:p>
    <w:p>
      <w:pPr>
        <w:pStyle w:val="Heading2"/>
        <w:spacing w:after="150" w:before="300"/>
      </w:pPr>
      <w:r>
        <w:rPr>
          <w:rFonts w:ascii="Calibri" w:cs="Calibri" w:eastAsia="Calibri" w:hAnsi="Calibri"/>
          <w:b/>
          <w:bCs/>
          <w:color w:val="1F3A5F"/>
          <w:sz w:val="26"/>
          <w:szCs w:val="26"/>
        </w:rPr>
        <w:t xml:space="preserve">1.1 Background of the Study</w:t>
      </w:r>
    </w:p>
    <w:p>
      <w:pPr>
        <w:spacing w:after="200" w:line="300"/>
        <w:jc w:val="both"/>
      </w:pPr>
      <w:r>
        <w:rPr>
          <w:rFonts w:ascii="Calibri" w:cs="Calibri" w:eastAsia="Calibri" w:hAnsi="Calibri"/>
          <w:sz w:val="23"/>
          <w:szCs w:val="23"/>
        </w:rPr>
        <w:t xml:space="preserve">Security is multidimensional in nature and diverse in practice, which makes a single, universally applicable definition difficult to pin down. David Baldwin defined security as a low probability of damage to acquired values (1997), while Lawrence Krause and Joseph Nye described it as the absence of acute threats to the minimal acceptable levels of the basic values a people consider essential to their survival (1975).</w:t>
      </w:r>
    </w:p>
    <w:p>
      <w:pPr>
        <w:spacing w:after="200" w:line="300"/>
        <w:jc w:val="both"/>
      </w:pPr>
      <w:r>
        <w:rPr>
          <w:rFonts w:ascii="Calibri" w:cs="Calibri" w:eastAsia="Calibri" w:hAnsi="Calibri"/>
          <w:sz w:val="23"/>
          <w:szCs w:val="23"/>
        </w:rPr>
        <w:t xml:space="preserve">Today's world faces threats on many fronts – natural disasters, chronic poverty, violent conflict, health pandemics, and sudden economic shocks all impose significant hardship on peace and stability. Since September 2001, the struggle against international jihadist terrorism has become a defining security paradigm of the 21st century, and African countries in particular are grappling with a wide range of cross-national security threats, from illicit trafficking to extremist groups such as Boko Haram and al-Shabaab. Their activities foment local conflict and enable organized crime, destabilizing already fragile political landscapes across the Sahel, the Lake Chad Basin, Somalia, and Eastern DRC.</w:t>
      </w:r>
    </w:p>
    <w:p>
      <w:pPr>
        <w:spacing w:after="200" w:line="300"/>
        <w:jc w:val="both"/>
      </w:pPr>
      <w:r>
        <w:rPr>
          <w:rFonts w:ascii="Calibri" w:cs="Calibri" w:eastAsia="Calibri" w:hAnsi="Calibri"/>
          <w:sz w:val="23"/>
          <w:szCs w:val="23"/>
        </w:rPr>
        <w:t xml:space="preserve">Kenya's own security situation has been described by the Institute for Security Studies as a “complex interplay of multiple threats” (ISS, 2018), spanning terrorism, organized crime, inter-communal conflict, and political violence. Garissa County, in Kenya's northeast, has been among the regions most affected. The al-Shabaab militant group has carried out deadly attacks in the area, most notably the April 2015 assault on Garissa University College, in which 148 people were killed (Al Jazeera, 2016; START, 2015). Banditry and inter-communal conflict have also been persistent challenges.</w:t>
      </w:r>
    </w:p>
    <w:p>
      <w:pPr>
        <w:spacing w:after="200" w:line="300"/>
        <w:jc w:val="both"/>
      </w:pPr>
      <w:r>
        <w:rPr>
          <w:rFonts w:ascii="Calibri" w:cs="Calibri" w:eastAsia="Calibri" w:hAnsi="Calibri"/>
          <w:sz w:val="23"/>
          <w:szCs w:val="23"/>
        </w:rPr>
        <w:t xml:space="preserve">The consequences ripple through the county's social, economic, and political life. UNICEF (2018) reported more than 150 school closures in Garissa County that year due to insecurity, with knock-on effects for children's education and for parents who must travel further to reach functioning schools. The Kenya National Commission on Human Rights (2018) documented mass displacement, with people losing both their homes and their livelihoods. The government has responded with increased security personnel and community policing initiatives, but the security situation remains a live concern – underscoring the need for a comprehensive, evidence-based understanding of what is driving insecurity in the region.</w:t>
      </w:r>
    </w:p>
    <w:p>
      <w:pPr>
        <w:pStyle w:val="Heading2"/>
        <w:spacing w:after="150" w:before="300"/>
      </w:pPr>
      <w:r>
        <w:rPr>
          <w:rFonts w:ascii="Calibri" w:cs="Calibri" w:eastAsia="Calibri" w:hAnsi="Calibri"/>
          <w:b/>
          <w:bCs/>
          <w:color w:val="1F3A5F"/>
          <w:sz w:val="26"/>
          <w:szCs w:val="26"/>
        </w:rPr>
        <w:t xml:space="preserve">1.2 Statement of the Problem</w:t>
      </w:r>
    </w:p>
    <w:p>
      <w:pPr>
        <w:spacing w:after="200" w:line="300"/>
        <w:jc w:val="both"/>
      </w:pPr>
      <w:r>
        <w:rPr>
          <w:rFonts w:ascii="Calibri" w:cs="Calibri" w:eastAsia="Calibri" w:hAnsi="Calibri"/>
          <w:sz w:val="23"/>
          <w:szCs w:val="23"/>
        </w:rPr>
        <w:t xml:space="preserve">Garissa County's insecurity – terrorism, banditry, and inter-communal conflict – has caused significant loss of life, property destruction, displacement, and disruption of economic activity (BBC, 2015; KNCHR, 2018). The government has responded with more security personnel and community policing (ISS, 2018), yet attacks and conflict continue.</w:t>
      </w:r>
    </w:p>
    <w:p>
      <w:pPr>
        <w:spacing w:after="200" w:line="300"/>
        <w:jc w:val="both"/>
      </w:pPr>
      <w:r>
        <w:rPr>
          <w:rFonts w:ascii="Calibri" w:cs="Calibri" w:eastAsia="Calibri" w:hAnsi="Calibri"/>
          <w:sz w:val="23"/>
          <w:szCs w:val="23"/>
        </w:rPr>
        <w:t xml:space="preserve">Prior research has tended to address Kenya's security challenges at the national level (Mutongi &amp; Adhiambo, 2018) or to examine the drivers of terrorism broadly (Mohamed et al., 2018) without focusing specifically on Garissa County. This study addresses that gap by assessing the county's security challenges directly – identifying root causes, the factors that sustain them, and measures that could address them – to inform policy and decision-making.</w:t>
      </w:r>
    </w:p>
    <w:p>
      <w:pPr>
        <w:pStyle w:val="Heading2"/>
        <w:spacing w:after="150" w:before="300"/>
      </w:pPr>
      <w:r>
        <w:rPr>
          <w:rFonts w:ascii="Calibri" w:cs="Calibri" w:eastAsia="Calibri" w:hAnsi="Calibri"/>
          <w:b/>
          <w:bCs/>
          <w:color w:val="1F3A5F"/>
          <w:sz w:val="26"/>
          <w:szCs w:val="26"/>
        </w:rPr>
        <w:t xml:space="preserve">1.3 Objectives of the Study</w:t>
      </w:r>
    </w:p>
    <w:p>
      <w:pPr>
        <w:spacing w:after="200" w:line="300"/>
        <w:jc w:val="both"/>
      </w:pPr>
      <w:r>
        <w:rPr>
          <w:rFonts w:ascii="Calibri" w:cs="Calibri" w:eastAsia="Calibri" w:hAnsi="Calibri"/>
          <w:sz w:val="23"/>
          <w:szCs w:val="23"/>
        </w:rPr>
        <w:t xml:space="preserve">The primary objective is to assess Kenya's current insecurity challenges, using Garissa County as a case study. The specific objectives are to:</w:t>
      </w:r>
    </w:p>
    <w:p>
      <w:pPr>
        <w:pStyle w:val="ListParagraph"/>
        <w:numPr>
          <w:ilvl w:val="0"/>
          <w:numId w:val="1"/>
        </w:numPr>
        <w:spacing w:after="120"/>
      </w:pPr>
      <w:r>
        <w:rPr>
          <w:rFonts w:ascii="Calibri" w:cs="Calibri" w:eastAsia="Calibri" w:hAnsi="Calibri"/>
          <w:sz w:val="23"/>
          <w:szCs w:val="23"/>
        </w:rPr>
        <w:t xml:space="preserve">Identify the root causes of insecurity in Garissa County.</w:t>
      </w:r>
    </w:p>
    <w:p>
      <w:pPr>
        <w:pStyle w:val="ListParagraph"/>
        <w:numPr>
          <w:ilvl w:val="0"/>
          <w:numId w:val="1"/>
        </w:numPr>
        <w:spacing w:after="120"/>
      </w:pPr>
      <w:r>
        <w:rPr>
          <w:rFonts w:ascii="Calibri" w:cs="Calibri" w:eastAsia="Calibri" w:hAnsi="Calibri"/>
          <w:sz w:val="23"/>
          <w:szCs w:val="23"/>
        </w:rPr>
        <w:t xml:space="preserve">Assess the measures taken by government to address security challenges in the county.</w:t>
      </w:r>
    </w:p>
    <w:p>
      <w:pPr>
        <w:pStyle w:val="ListParagraph"/>
        <w:numPr>
          <w:ilvl w:val="0"/>
          <w:numId w:val="1"/>
        </w:numPr>
        <w:spacing w:after="120"/>
      </w:pPr>
      <w:r>
        <w:rPr>
          <w:rFonts w:ascii="Calibri" w:cs="Calibri" w:eastAsia="Calibri" w:hAnsi="Calibri"/>
          <w:sz w:val="23"/>
          <w:szCs w:val="23"/>
        </w:rPr>
        <w:t xml:space="preserve">Recommend strategies to enhance security in the region.</w:t>
      </w:r>
    </w:p>
    <w:p>
      <w:pPr>
        <w:pStyle w:val="Heading2"/>
        <w:spacing w:after="150" w:before="300"/>
      </w:pPr>
      <w:r>
        <w:rPr>
          <w:rFonts w:ascii="Calibri" w:cs="Calibri" w:eastAsia="Calibri" w:hAnsi="Calibri"/>
          <w:b/>
          <w:bCs/>
          <w:color w:val="1F3A5F"/>
          <w:sz w:val="26"/>
          <w:szCs w:val="26"/>
        </w:rPr>
        <w:t xml:space="preserve">1.4 Research Questions</w:t>
      </w:r>
    </w:p>
    <w:p>
      <w:pPr>
        <w:pStyle w:val="ListParagraph"/>
        <w:numPr>
          <w:ilvl w:val="0"/>
          <w:numId w:val="1"/>
        </w:numPr>
        <w:spacing w:after="120"/>
      </w:pPr>
      <w:r>
        <w:rPr>
          <w:rFonts w:ascii="Calibri" w:cs="Calibri" w:eastAsia="Calibri" w:hAnsi="Calibri"/>
          <w:sz w:val="23"/>
          <w:szCs w:val="23"/>
        </w:rPr>
        <w:t xml:space="preserve">What are the root causes of insecurity in Garissa County?</w:t>
      </w:r>
    </w:p>
    <w:p>
      <w:pPr>
        <w:pStyle w:val="ListParagraph"/>
        <w:numPr>
          <w:ilvl w:val="0"/>
          <w:numId w:val="1"/>
        </w:numPr>
        <w:spacing w:after="120"/>
      </w:pPr>
      <w:r>
        <w:rPr>
          <w:rFonts w:ascii="Calibri" w:cs="Calibri" w:eastAsia="Calibri" w:hAnsi="Calibri"/>
          <w:sz w:val="23"/>
          <w:szCs w:val="23"/>
        </w:rPr>
        <w:t xml:space="preserve">How effective have government measures been in addressing these challenges?</w:t>
      </w:r>
    </w:p>
    <w:p>
      <w:pPr>
        <w:pStyle w:val="ListParagraph"/>
        <w:numPr>
          <w:ilvl w:val="0"/>
          <w:numId w:val="1"/>
        </w:numPr>
        <w:spacing w:after="120"/>
      </w:pPr>
      <w:r>
        <w:rPr>
          <w:rFonts w:ascii="Calibri" w:cs="Calibri" w:eastAsia="Calibri" w:hAnsi="Calibri"/>
          <w:sz w:val="23"/>
          <w:szCs w:val="23"/>
        </w:rPr>
        <w:t xml:space="preserve">What strategies can be employed to enhance security in the region?</w:t>
      </w:r>
    </w:p>
    <w:p>
      <w:pPr>
        <w:pStyle w:val="Heading2"/>
        <w:spacing w:after="150" w:before="300"/>
      </w:pPr>
      <w:r>
        <w:rPr>
          <w:rFonts w:ascii="Calibri" w:cs="Calibri" w:eastAsia="Calibri" w:hAnsi="Calibri"/>
          <w:b/>
          <w:bCs/>
          <w:color w:val="1F3A5F"/>
          <w:sz w:val="26"/>
          <w:szCs w:val="26"/>
        </w:rPr>
        <w:t xml:space="preserve">1.5 Research Assumptions</w:t>
      </w:r>
    </w:p>
    <w:p>
      <w:pPr>
        <w:pStyle w:val="ListParagraph"/>
        <w:numPr>
          <w:ilvl w:val="0"/>
          <w:numId w:val="1"/>
        </w:numPr>
        <w:spacing w:after="120"/>
      </w:pPr>
      <w:r>
        <w:rPr>
          <w:rFonts w:ascii="Calibri" w:cs="Calibri" w:eastAsia="Calibri" w:hAnsi="Calibri"/>
          <w:sz w:val="23"/>
          <w:szCs w:val="23"/>
        </w:rPr>
        <w:t xml:space="preserve">The data collected is accurate and reliable.</w:t>
      </w:r>
    </w:p>
    <w:p>
      <w:pPr>
        <w:pStyle w:val="ListParagraph"/>
        <w:numPr>
          <w:ilvl w:val="0"/>
          <w:numId w:val="1"/>
        </w:numPr>
        <w:spacing w:after="120"/>
      </w:pPr>
      <w:r>
        <w:rPr>
          <w:rFonts w:ascii="Calibri" w:cs="Calibri" w:eastAsia="Calibri" w:hAnsi="Calibri"/>
          <w:sz w:val="23"/>
          <w:szCs w:val="23"/>
        </w:rPr>
        <w:t xml:space="preserve">Participants provide truthful and honest responses.</w:t>
      </w:r>
    </w:p>
    <w:p>
      <w:pPr>
        <w:pStyle w:val="ListParagraph"/>
        <w:numPr>
          <w:ilvl w:val="0"/>
          <w:numId w:val="1"/>
        </w:numPr>
        <w:spacing w:after="120"/>
      </w:pPr>
      <w:r>
        <w:rPr>
          <w:rFonts w:ascii="Calibri" w:cs="Calibri" w:eastAsia="Calibri" w:hAnsi="Calibri"/>
          <w:sz w:val="23"/>
          <w:szCs w:val="23"/>
        </w:rPr>
        <w:t xml:space="preserve">The sample is representative of Garissa County's population.</w:t>
      </w:r>
    </w:p>
    <w:p>
      <w:pPr>
        <w:pStyle w:val="ListParagraph"/>
        <w:numPr>
          <w:ilvl w:val="0"/>
          <w:numId w:val="1"/>
        </w:numPr>
        <w:spacing w:after="120"/>
      </w:pPr>
      <w:r>
        <w:rPr>
          <w:rFonts w:ascii="Calibri" w:cs="Calibri" w:eastAsia="Calibri" w:hAnsi="Calibri"/>
          <w:sz w:val="23"/>
          <w:szCs w:val="23"/>
        </w:rPr>
        <w:t xml:space="preserve">Researcher bias does not materially influence the findings.</w:t>
      </w:r>
    </w:p>
    <w:p>
      <w:pPr>
        <w:pStyle w:val="ListParagraph"/>
        <w:numPr>
          <w:ilvl w:val="0"/>
          <w:numId w:val="1"/>
        </w:numPr>
        <w:spacing w:after="120"/>
      </w:pPr>
      <w:r>
        <w:rPr>
          <w:rFonts w:ascii="Calibri" w:cs="Calibri" w:eastAsia="Calibri" w:hAnsi="Calibri"/>
          <w:sz w:val="23"/>
          <w:szCs w:val="23"/>
        </w:rPr>
        <w:t xml:space="preserve">The security situation remained relatively stable during data collection.</w:t>
      </w:r>
    </w:p>
    <w:p>
      <w:pPr>
        <w:pStyle w:val="ListParagraph"/>
        <w:numPr>
          <w:ilvl w:val="0"/>
          <w:numId w:val="1"/>
        </w:numPr>
        <w:spacing w:after="120"/>
      </w:pPr>
      <w:r>
        <w:rPr>
          <w:rFonts w:ascii="Calibri" w:cs="Calibri" w:eastAsia="Calibri" w:hAnsi="Calibri"/>
          <w:sz w:val="23"/>
          <w:szCs w:val="23"/>
        </w:rPr>
        <w:t xml:space="preserve">Government cooperation and access to information were adequate.</w:t>
      </w:r>
    </w:p>
    <w:p>
      <w:pPr>
        <w:pStyle w:val="ListParagraph"/>
        <w:numPr>
          <w:ilvl w:val="0"/>
          <w:numId w:val="1"/>
        </w:numPr>
        <w:spacing w:after="120"/>
      </w:pPr>
      <w:r>
        <w:rPr>
          <w:rFonts w:ascii="Calibri" w:cs="Calibri" w:eastAsia="Calibri" w:hAnsi="Calibri"/>
          <w:sz w:val="23"/>
          <w:szCs w:val="23"/>
        </w:rPr>
        <w:t xml:space="preserve">The research instruments used are valid and reliable.</w:t>
      </w:r>
    </w:p>
    <w:p>
      <w:pPr>
        <w:pStyle w:val="Heading2"/>
        <w:spacing w:after="150" w:before="300"/>
      </w:pPr>
      <w:r>
        <w:rPr>
          <w:rFonts w:ascii="Calibri" w:cs="Calibri" w:eastAsia="Calibri" w:hAnsi="Calibri"/>
          <w:b/>
          <w:bCs/>
          <w:color w:val="1F3A5F"/>
          <w:sz w:val="26"/>
          <w:szCs w:val="26"/>
        </w:rPr>
        <w:t xml:space="preserve">1.6 Justification for the Study</w:t>
      </w:r>
    </w:p>
    <w:p>
      <w:pPr>
        <w:spacing w:after="200" w:line="300"/>
        <w:jc w:val="both"/>
      </w:pPr>
      <w:r>
        <w:rPr>
          <w:rFonts w:ascii="Calibri" w:cs="Calibri" w:eastAsia="Calibri" w:hAnsi="Calibri"/>
          <w:sz w:val="23"/>
          <w:szCs w:val="23"/>
        </w:rPr>
        <w:t xml:space="preserve">This study matters for three reasons. First, Garissa County's insecurity has real human and economic costs, and a comprehensive understanding of its root causes is a prerequisite for addressing them. Second, while several studies address Kenyan security broadly, a more granular understanding specific to Garissa remains limited. Third, the study is oriented toward practical recommendations that policymakers and security agencies can use.</w:t>
      </w:r>
    </w:p>
    <w:p>
      <w:pPr>
        <w:pStyle w:val="Heading2"/>
        <w:spacing w:after="150" w:before="300"/>
      </w:pPr>
      <w:r>
        <w:rPr>
          <w:rFonts w:ascii="Calibri" w:cs="Calibri" w:eastAsia="Calibri" w:hAnsi="Calibri"/>
          <w:b/>
          <w:bCs/>
          <w:color w:val="1F3A5F"/>
          <w:sz w:val="26"/>
          <w:szCs w:val="26"/>
        </w:rPr>
        <w:t xml:space="preserve">1.7 Significance of the Study</w:t>
      </w:r>
    </w:p>
    <w:p>
      <w:pPr>
        <w:spacing w:after="200" w:line="300"/>
        <w:jc w:val="both"/>
      </w:pPr>
      <w:r>
        <w:rPr>
          <w:rFonts w:ascii="Calibri" w:cs="Calibri" w:eastAsia="Calibri" w:hAnsi="Calibri"/>
          <w:sz w:val="23"/>
          <w:szCs w:val="23"/>
        </w:rPr>
        <w:t xml:space="preserve">The study contributes a county-level evidence base to inform policy, adds to the academic literature on security in northeastern Kenya, and offers recommendations usable by government and other stakeholders.</w:t>
      </w:r>
    </w:p>
    <w:p>
      <w:pPr>
        <w:pStyle w:val="Heading2"/>
        <w:spacing w:after="150" w:before="300"/>
      </w:pPr>
      <w:r>
        <w:rPr>
          <w:rFonts w:ascii="Calibri" w:cs="Calibri" w:eastAsia="Calibri" w:hAnsi="Calibri"/>
          <w:b/>
          <w:bCs/>
          <w:color w:val="1F3A5F"/>
          <w:sz w:val="26"/>
          <w:szCs w:val="26"/>
        </w:rPr>
        <w:t xml:space="preserve">1.8 Scope and Delimitations of the Study</w:t>
      </w:r>
    </w:p>
    <w:p>
      <w:pPr>
        <w:spacing w:after="200" w:line="300"/>
        <w:jc w:val="both"/>
      </w:pPr>
      <w:r>
        <w:rPr>
          <w:rFonts w:ascii="Calibri" w:cs="Calibri" w:eastAsia="Calibri" w:hAnsi="Calibri"/>
          <w:sz w:val="23"/>
          <w:szCs w:val="23"/>
        </w:rPr>
        <w:t xml:space="preserve">The study is delimited to Garissa County and to three security challenges – terrorism, banditry, and inter-communal conflict – examining their root causes, perpetuating factors, and the government's response. Findings are not claimed to generalize automatically to other counties, though the approach may be replicable elsewhere.</w:t>
      </w:r>
    </w:p>
    <w:p>
      <w:pPr>
        <w:pStyle w:val="Heading2"/>
        <w:spacing w:after="150" w:before="300"/>
      </w:pPr>
      <w:r>
        <w:rPr>
          <w:rFonts w:ascii="Calibri" w:cs="Calibri" w:eastAsia="Calibri" w:hAnsi="Calibri"/>
          <w:b/>
          <w:bCs/>
          <w:color w:val="1F3A5F"/>
          <w:sz w:val="26"/>
          <w:szCs w:val="26"/>
        </w:rPr>
        <w:t xml:space="preserve">1.9 Limitations of the Study</w:t>
      </w:r>
    </w:p>
    <w:p>
      <w:pPr>
        <w:pStyle w:val="ListParagraph"/>
        <w:numPr>
          <w:ilvl w:val="0"/>
          <w:numId w:val="1"/>
        </w:numPr>
        <w:spacing w:after="120"/>
      </w:pPr>
      <w:r>
        <w:rPr>
          <w:rFonts w:ascii="Calibri" w:cs="Calibri" w:eastAsia="Calibri" w:hAnsi="Calibri"/>
          <w:sz w:val="23"/>
          <w:szCs w:val="23"/>
        </w:rPr>
        <w:t xml:space="preserve">Limited generalizability to regions with different cultural and political contexts.</w:t>
      </w:r>
    </w:p>
    <w:p>
      <w:pPr>
        <w:pStyle w:val="ListParagraph"/>
        <w:numPr>
          <w:ilvl w:val="0"/>
          <w:numId w:val="1"/>
        </w:numPr>
        <w:spacing w:after="120"/>
      </w:pPr>
      <w:r>
        <w:rPr>
          <w:rFonts w:ascii="Calibri" w:cs="Calibri" w:eastAsia="Calibri" w:hAnsi="Calibri"/>
          <w:sz w:val="23"/>
          <w:szCs w:val="23"/>
        </w:rPr>
        <w:t xml:space="preserve">Constrained access to sensitive security-agency information.</w:t>
      </w:r>
    </w:p>
    <w:p>
      <w:pPr>
        <w:pStyle w:val="ListParagraph"/>
        <w:numPr>
          <w:ilvl w:val="0"/>
          <w:numId w:val="1"/>
        </w:numPr>
        <w:spacing w:after="120"/>
      </w:pPr>
      <w:r>
        <w:rPr>
          <w:rFonts w:ascii="Calibri" w:cs="Calibri" w:eastAsia="Calibri" w:hAnsi="Calibri"/>
          <w:sz w:val="23"/>
          <w:szCs w:val="23"/>
        </w:rPr>
        <w:t xml:space="preserve">Time constraints limiting the depth of coverage achievable.</w:t>
      </w:r>
    </w:p>
    <w:p>
      <w:pPr>
        <w:pStyle w:val="ListParagraph"/>
        <w:numPr>
          <w:ilvl w:val="0"/>
          <w:numId w:val="1"/>
        </w:numPr>
        <w:spacing w:after="120"/>
      </w:pPr>
      <w:r>
        <w:rPr>
          <w:rFonts w:ascii="Calibri" w:cs="Calibri" w:eastAsia="Calibri" w:hAnsi="Calibri"/>
          <w:sz w:val="23"/>
          <w:szCs w:val="23"/>
        </w:rPr>
        <w:t xml:space="preserve">Potential researcher bias affecting interpretation.</w:t>
      </w:r>
    </w:p>
    <w:p>
      <w:pPr>
        <w:pStyle w:val="ListParagraph"/>
        <w:numPr>
          <w:ilvl w:val="0"/>
          <w:numId w:val="1"/>
        </w:numPr>
        <w:spacing w:after="120"/>
      </w:pPr>
      <w:r>
        <w:rPr>
          <w:rFonts w:ascii="Calibri" w:cs="Calibri" w:eastAsia="Calibri" w:hAnsi="Calibri"/>
          <w:sz w:val="23"/>
          <w:szCs w:val="23"/>
        </w:rPr>
        <w:t xml:space="preserve">Language barriers with some community members.</w:t>
      </w:r>
    </w:p>
    <w:p>
      <w:pPr>
        <w:pStyle w:val="ListParagraph"/>
        <w:numPr>
          <w:ilvl w:val="0"/>
          <w:numId w:val="1"/>
        </w:numPr>
        <w:spacing w:after="120"/>
      </w:pPr>
      <w:r>
        <w:rPr>
          <w:rFonts w:ascii="Calibri" w:cs="Calibri" w:eastAsia="Calibri" w:hAnsi="Calibri"/>
          <w:sz w:val="23"/>
          <w:szCs w:val="23"/>
        </w:rPr>
        <w:t xml:space="preserve">Security risks to the researcher in high-risk areas.</w:t>
      </w:r>
    </w:p>
    <w:p>
      <w:pPr>
        <w:pStyle w:val="ListParagraph"/>
        <w:numPr>
          <w:ilvl w:val="0"/>
          <w:numId w:val="1"/>
        </w:numPr>
        <w:spacing w:after="120"/>
      </w:pPr>
      <w:r>
        <w:rPr>
          <w:rFonts w:ascii="Calibri" w:cs="Calibri" w:eastAsia="Calibri" w:hAnsi="Calibri"/>
          <w:sz w:val="23"/>
          <w:szCs w:val="23"/>
        </w:rPr>
        <w:t xml:space="preserve">Resource constraints (finance, time, personnel).</w:t>
      </w:r>
    </w:p>
    <w:p>
      <w:pPr>
        <w:pStyle w:val="Heading2"/>
        <w:spacing w:after="150" w:before="300"/>
      </w:pPr>
      <w:r>
        <w:rPr>
          <w:rFonts w:ascii="Calibri" w:cs="Calibri" w:eastAsia="Calibri" w:hAnsi="Calibri"/>
          <w:b/>
          <w:bCs/>
          <w:color w:val="1F3A5F"/>
          <w:sz w:val="26"/>
          <w:szCs w:val="26"/>
        </w:rPr>
        <w:t xml:space="preserve">1.10 Conceptual Framework</w:t>
      </w:r>
    </w:p>
    <w:p>
      <w:pPr>
        <w:spacing w:after="200" w:line="300"/>
        <w:jc w:val="both"/>
      </w:pPr>
      <w:r>
        <w:rPr>
          <w:rFonts w:ascii="Calibri" w:cs="Calibri" w:eastAsia="Calibri" w:hAnsi="Calibri"/>
          <w:sz w:val="23"/>
          <w:szCs w:val="23"/>
        </w:rPr>
        <w:t xml:space="preserve">The conceptual framework guiding this study links independent variables (the structural root causes and perpetuating factors of insecurity), intervening variables (government response and community involvement), and dependent variables (the observable security challenges: terrorism, banditry, and inter-communal conflict). The framework is summarized below.</w:t>
      </w:r>
    </w:p>
    <w:p>
      <w:pPr>
        <w:spacing w:after="100" w:before="200"/>
        <w:jc w:val="center"/>
      </w:pPr>
      <w:r>
        <w:rPr>
          <w:rFonts w:ascii="Calibri" w:cs="Calibri" w:eastAsia="Calibri" w:hAnsi="Calibri"/>
          <w:b/>
          <w:bCs/>
          <w:i/>
          <w:iCs/>
          <w:sz w:val="21"/>
          <w:szCs w:val="21"/>
        </w:rPr>
        <w:t xml:space="preserve">Figure 1.1: Conceptual Framework</w:t>
      </w:r>
    </w:p>
    <w:p>
      <w:pPr>
        <w:spacing w:after="80"/>
        <w:jc w:val="center"/>
      </w:pPr>
      <w:r>
        <w:rPr>
          <w:rFonts w:ascii="Calibri" w:cs="Calibri" w:eastAsia="Calibri" w:hAnsi="Calibri"/>
          <w:b/>
          <w:bCs/>
          <w:color w:val="1F3A5F"/>
          <w:sz w:val="21"/>
          <w:szCs w:val="21"/>
        </w:rPr>
        <w:t xml:space="preserve">Independent Variables  →  Intervening Variables  →  Dependent Variables</w:t>
      </w:r>
    </w:p>
    <w:p>
      <w:pPr>
        <w:spacing w:after="300"/>
        <w:jc w:val="center"/>
      </w:pPr>
      <w:r>
        <w:rPr>
          <w:rFonts w:ascii="Calibri" w:cs="Calibri" w:eastAsia="Calibri" w:hAnsi="Calibri"/>
          <w:i/>
          <w:iCs/>
          <w:color w:val="555555"/>
          <w:sz w:val="20"/>
          <w:szCs w:val="20"/>
        </w:rPr>
        <w:t xml:space="preserve">Poverty · Unemployment · Marginalization · Corruption · Weak law enforcement · Governance issues   →   Government response · Community involvement   →   Terrorism · Banditry · Inter-communal conflict</w:t>
      </w:r>
    </w:p>
    <w:p>
      <w:pPr>
        <w:pStyle w:val="Heading3"/>
        <w:spacing w:after="120" w:before="220"/>
      </w:pPr>
      <w:r>
        <w:rPr>
          <w:rFonts w:ascii="Calibri" w:cs="Calibri" w:eastAsia="Calibri" w:hAnsi="Calibri"/>
          <w:b/>
          <w:bCs/>
          <w:color w:val="333333"/>
          <w:sz w:val="24"/>
          <w:szCs w:val="24"/>
        </w:rPr>
        <w:t xml:space="preserve">1.11 Dependent Variables</w:t>
      </w:r>
    </w:p>
    <w:p>
      <w:pPr>
        <w:spacing w:after="200" w:line="300"/>
        <w:jc w:val="both"/>
      </w:pPr>
      <w:r>
        <w:rPr>
          <w:rFonts w:ascii="Calibri" w:cs="Calibri" w:eastAsia="Calibri" w:hAnsi="Calibri"/>
          <w:sz w:val="23"/>
          <w:szCs w:val="23"/>
        </w:rPr>
        <w:t xml:space="preserve">The dependent variable – security challenges in Garissa County – is the study's central focus. Terrorism, banditry, and inter-communal conflict are its three principal manifestations, each carrying distinct but overlapping consequences for life, property, and economic activity in the county.</w:t>
      </w:r>
    </w:p>
    <w:p>
      <w:pPr>
        <w:pStyle w:val="Heading3"/>
        <w:spacing w:after="120" w:before="220"/>
      </w:pPr>
      <w:r>
        <w:rPr>
          <w:rFonts w:ascii="Calibri" w:cs="Calibri" w:eastAsia="Calibri" w:hAnsi="Calibri"/>
          <w:b/>
          <w:bCs/>
          <w:color w:val="333333"/>
          <w:sz w:val="24"/>
          <w:szCs w:val="24"/>
        </w:rPr>
        <w:t xml:space="preserve">1.12 Terrorism</w:t>
      </w:r>
    </w:p>
    <w:p>
      <w:pPr>
        <w:spacing w:after="200" w:line="300"/>
        <w:jc w:val="both"/>
      </w:pPr>
      <w:r>
        <w:rPr>
          <w:rFonts w:ascii="Calibri" w:cs="Calibri" w:eastAsia="Calibri" w:hAnsi="Calibri"/>
          <w:sz w:val="23"/>
          <w:szCs w:val="23"/>
        </w:rPr>
        <w:t xml:space="preserve">Terrorism is the use of force or intimidation to pursue political, religious, or ideological goals. In Garissa County, al-Shabaab has been responsible for the deadliest incidents, including the 2015 attack on Garissa University College, in which 148 people were killed – the group's proximity to the Somali border and the presence of ethnic-Somali communities in the region are both cited as contributing factors.</w:t>
      </w:r>
    </w:p>
    <w:p>
      <w:pPr>
        <w:pStyle w:val="Heading3"/>
        <w:spacing w:after="120" w:before="220"/>
      </w:pPr>
      <w:r>
        <w:rPr>
          <w:rFonts w:ascii="Calibri" w:cs="Calibri" w:eastAsia="Calibri" w:hAnsi="Calibri"/>
          <w:b/>
          <w:bCs/>
          <w:color w:val="333333"/>
          <w:sz w:val="24"/>
          <w:szCs w:val="24"/>
        </w:rPr>
        <w:t xml:space="preserve">1.13 Banditry</w:t>
      </w:r>
    </w:p>
    <w:p>
      <w:pPr>
        <w:spacing w:after="200" w:line="300"/>
        <w:jc w:val="both"/>
      </w:pPr>
      <w:r>
        <w:rPr>
          <w:rFonts w:ascii="Calibri" w:cs="Calibri" w:eastAsia="Calibri" w:hAnsi="Calibri"/>
          <w:sz w:val="23"/>
          <w:szCs w:val="23"/>
        </w:rPr>
        <w:t xml:space="preserve">Banditry – theft, robbery, and looting, often by armed groups – remains a persistent problem in Garissa's border areas, targeting travelers and local communities and disrupting trade and tourism.</w:t>
      </w:r>
    </w:p>
    <w:p>
      <w:pPr>
        <w:pStyle w:val="Heading3"/>
        <w:spacing w:after="120" w:before="220"/>
      </w:pPr>
      <w:r>
        <w:rPr>
          <w:rFonts w:ascii="Calibri" w:cs="Calibri" w:eastAsia="Calibri" w:hAnsi="Calibri"/>
          <w:b/>
          <w:bCs/>
          <w:color w:val="333333"/>
          <w:sz w:val="24"/>
          <w:szCs w:val="24"/>
        </w:rPr>
        <w:t xml:space="preserve">1.14 Inter-communal Conflict</w:t>
      </w:r>
    </w:p>
    <w:p>
      <w:pPr>
        <w:spacing w:after="200" w:line="300"/>
        <w:jc w:val="both"/>
      </w:pPr>
      <w:r>
        <w:rPr>
          <w:rFonts w:ascii="Calibri" w:cs="Calibri" w:eastAsia="Calibri" w:hAnsi="Calibri"/>
          <w:sz w:val="23"/>
          <w:szCs w:val="23"/>
        </w:rPr>
        <w:t xml:space="preserve">Conflict between ethnic or religious groups, particularly between Somali and Borana communities, is frequently fuelled by competition over water and pasture and by political tension, with consequences including loss of life, displacement, and destroyed property.</w:t>
      </w:r>
    </w:p>
    <w:p>
      <w:pPr>
        <w:pStyle w:val="Heading3"/>
        <w:spacing w:after="120" w:before="220"/>
      </w:pPr>
      <w:r>
        <w:rPr>
          <w:rFonts w:ascii="Calibri" w:cs="Calibri" w:eastAsia="Calibri" w:hAnsi="Calibri"/>
          <w:b/>
          <w:bCs/>
          <w:color w:val="333333"/>
          <w:sz w:val="24"/>
          <w:szCs w:val="24"/>
        </w:rPr>
        <w:t xml:space="preserve">1.15 Independent Variables</w:t>
      </w:r>
    </w:p>
    <w:p>
      <w:pPr>
        <w:spacing w:after="200" w:line="300"/>
        <w:jc w:val="both"/>
      </w:pPr>
      <w:r>
        <w:rPr>
          <w:rFonts w:ascii="Calibri" w:cs="Calibri" w:eastAsia="Calibri" w:hAnsi="Calibri"/>
          <w:sz w:val="23"/>
          <w:szCs w:val="23"/>
        </w:rPr>
        <w:t xml:space="preserve">The independent variables are the historical, social, economic, and political root causes and perpetuating factors behind Garissa's insecurity: poverty, unemployment, marginalization, corruption, weak law enforcement, and governance failures.</w:t>
      </w:r>
    </w:p>
    <w:p>
      <w:pPr>
        <w:pStyle w:val="Heading3"/>
        <w:spacing w:after="120" w:before="220"/>
      </w:pPr>
      <w:r>
        <w:rPr>
          <w:rFonts w:ascii="Calibri" w:cs="Calibri" w:eastAsia="Calibri" w:hAnsi="Calibri"/>
          <w:b/>
          <w:bCs/>
          <w:color w:val="333333"/>
          <w:sz w:val="24"/>
          <w:szCs w:val="24"/>
        </w:rPr>
        <w:t xml:space="preserve">1.16 Security Challenges</w:t>
      </w:r>
    </w:p>
    <w:p>
      <w:pPr>
        <w:spacing w:after="200" w:line="300"/>
        <w:jc w:val="both"/>
      </w:pPr>
      <w:r>
        <w:rPr>
          <w:rFonts w:ascii="Calibri" w:cs="Calibri" w:eastAsia="Calibri" w:hAnsi="Calibri"/>
          <w:sz w:val="23"/>
          <w:szCs w:val="23"/>
        </w:rPr>
        <w:t xml:space="preserve">Security challenges here denote the observable forms of insecurity – terrorism, banditry, and inter-communal conflict – and their downstream effects, including school closures and reduced economic activity.</w:t>
      </w:r>
    </w:p>
    <w:p>
      <w:pPr>
        <w:pStyle w:val="Heading3"/>
        <w:spacing w:after="120" w:before="220"/>
      </w:pPr>
      <w:r>
        <w:rPr>
          <w:rFonts w:ascii="Calibri" w:cs="Calibri" w:eastAsia="Calibri" w:hAnsi="Calibri"/>
          <w:b/>
          <w:bCs/>
          <w:color w:val="333333"/>
          <w:sz w:val="24"/>
          <w:szCs w:val="24"/>
        </w:rPr>
        <w:t xml:space="preserve">1.17 Root Causes</w:t>
      </w:r>
    </w:p>
    <w:p>
      <w:pPr>
        <w:spacing w:after="200" w:line="300"/>
        <w:jc w:val="both"/>
      </w:pPr>
      <w:r>
        <w:rPr>
          <w:rFonts w:ascii="Calibri" w:cs="Calibri" w:eastAsia="Calibri" w:hAnsi="Calibri"/>
          <w:sz w:val="23"/>
          <w:szCs w:val="23"/>
        </w:rPr>
        <w:t xml:space="preserve">Historical marginalization has fostered a sense of neglect that can shade into resentment and, in some cases, radicalization. Ethnic tension and religious difference contribute at the social level; poverty, unemployment, and inequality create economic desperation, particularly among youth, that extremist groups can exploit; and corruption and weak governance compound the political dimension.</w:t>
      </w:r>
    </w:p>
    <w:p>
      <w:pPr>
        <w:pStyle w:val="Heading3"/>
        <w:spacing w:after="120" w:before="220"/>
      </w:pPr>
      <w:r>
        <w:rPr>
          <w:rFonts w:ascii="Calibri" w:cs="Calibri" w:eastAsia="Calibri" w:hAnsi="Calibri"/>
          <w:b/>
          <w:bCs/>
          <w:color w:val="333333"/>
          <w:sz w:val="24"/>
          <w:szCs w:val="24"/>
        </w:rPr>
        <w:t xml:space="preserve">1.18 Perpetuating Factors</w:t>
      </w:r>
    </w:p>
    <w:p>
      <w:pPr>
        <w:spacing w:after="200" w:line="300"/>
        <w:jc w:val="both"/>
      </w:pPr>
      <w:r>
        <w:rPr>
          <w:rFonts w:ascii="Calibri" w:cs="Calibri" w:eastAsia="Calibri" w:hAnsi="Calibri"/>
          <w:sz w:val="23"/>
          <w:szCs w:val="23"/>
        </w:rPr>
        <w:t xml:space="preserve">Corruption diverts resources meant for development and security; weak governance leaves root causes unaddressed; and weak law enforcement fosters impunity – together, these factors sustain rather than resolve insecurity over time.</w:t>
      </w:r>
    </w:p>
    <w:p>
      <w:pPr>
        <w:pStyle w:val="Heading3"/>
        <w:spacing w:after="120" w:before="220"/>
      </w:pPr>
      <w:r>
        <w:rPr>
          <w:rFonts w:ascii="Calibri" w:cs="Calibri" w:eastAsia="Calibri" w:hAnsi="Calibri"/>
          <w:b/>
          <w:bCs/>
          <w:color w:val="333333"/>
          <w:sz w:val="24"/>
          <w:szCs w:val="24"/>
        </w:rPr>
        <w:t xml:space="preserve">1.19 Intervening Variables</w:t>
      </w:r>
    </w:p>
    <w:p>
      <w:pPr>
        <w:spacing w:after="200" w:line="300"/>
        <w:jc w:val="both"/>
      </w:pPr>
      <w:r>
        <w:rPr>
          <w:rFonts w:ascii="Calibri" w:cs="Calibri" w:eastAsia="Calibri" w:hAnsi="Calibri"/>
          <w:sz w:val="23"/>
          <w:szCs w:val="23"/>
        </w:rPr>
        <w:t xml:space="preserve">Government response and community involvement can either dampen or amplify the effect of root causes on outcomes, which is why they are modelled as intervening rather than independent variables.</w:t>
      </w:r>
    </w:p>
    <w:p>
      <w:pPr>
        <w:pStyle w:val="Heading3"/>
        <w:spacing w:after="120" w:before="220"/>
      </w:pPr>
      <w:r>
        <w:rPr>
          <w:rFonts w:ascii="Calibri" w:cs="Calibri" w:eastAsia="Calibri" w:hAnsi="Calibri"/>
          <w:b/>
          <w:bCs/>
          <w:color w:val="333333"/>
          <w:sz w:val="24"/>
          <w:szCs w:val="24"/>
        </w:rPr>
        <w:t xml:space="preserve">1.20 Government Response</w:t>
      </w:r>
    </w:p>
    <w:p>
      <w:pPr>
        <w:spacing w:after="200" w:line="300"/>
        <w:jc w:val="both"/>
      </w:pPr>
      <w:r>
        <w:rPr>
          <w:rFonts w:ascii="Calibri" w:cs="Calibri" w:eastAsia="Calibri" w:hAnsi="Calibri"/>
          <w:sz w:val="23"/>
          <w:szCs w:val="23"/>
        </w:rPr>
        <w:t xml:space="preserve">Government measures include additional security personnel, community policing, and development resourcing, though effectiveness has reportedly been hampered by corruption, limited political will, and weak governance capacity.</w:t>
      </w:r>
    </w:p>
    <w:p>
      <w:pPr>
        <w:pStyle w:val="Heading3"/>
        <w:spacing w:after="120" w:before="220"/>
      </w:pPr>
      <w:r>
        <w:rPr>
          <w:rFonts w:ascii="Calibri" w:cs="Calibri" w:eastAsia="Calibri" w:hAnsi="Calibri"/>
          <w:b/>
          <w:bCs/>
          <w:color w:val="333333"/>
          <w:sz w:val="24"/>
          <w:szCs w:val="24"/>
        </w:rPr>
        <w:t xml:space="preserve">1.21 Community Involvement</w:t>
      </w:r>
    </w:p>
    <w:p>
      <w:pPr>
        <w:spacing w:after="200" w:line="300"/>
        <w:jc w:val="both"/>
      </w:pPr>
      <w:r>
        <w:rPr>
          <w:rFonts w:ascii="Calibri" w:cs="Calibri" w:eastAsia="Calibri" w:hAnsi="Calibri"/>
          <w:sz w:val="23"/>
          <w:szCs w:val="23"/>
        </w:rPr>
        <w:t xml:space="preserve">Community policing and inter-ethnic dialogue have played a meaningful role, though their effectiveness is constrained by low inter-communal trust, radicalization risk, and resource limitations.</w:t>
      </w:r>
    </w:p>
    <w:p>
      <w:pPr>
        <w:pStyle w:val="Heading2"/>
        <w:spacing w:after="150" w:before="300"/>
      </w:pPr>
      <w:r>
        <w:rPr>
          <w:rFonts w:ascii="Calibri" w:cs="Calibri" w:eastAsia="Calibri" w:hAnsi="Calibri"/>
          <w:b/>
          <w:bCs/>
          <w:color w:val="1F3A5F"/>
          <w:sz w:val="26"/>
          <w:szCs w:val="26"/>
        </w:rPr>
        <w:t xml:space="preserve">1.22 Operational Definition of Terminologies</w:t>
      </w:r>
    </w:p>
    <w:p>
      <w:pPr>
        <w:pStyle w:val="ListParagraph"/>
        <w:numPr>
          <w:ilvl w:val="0"/>
          <w:numId w:val="1"/>
        </w:numPr>
        <w:spacing w:after="120"/>
      </w:pPr>
      <w:r>
        <w:rPr>
          <w:rFonts w:ascii="Calibri" w:cs="Calibri" w:eastAsia="Calibri" w:hAnsi="Calibri"/>
          <w:sz w:val="23"/>
          <w:szCs w:val="23"/>
        </w:rPr>
        <w:t xml:space="preserve">Security challenges – the forms of insecurity present in Garissa County: terrorism, banditry, and inter-communal conflict.</w:t>
      </w:r>
    </w:p>
    <w:p>
      <w:pPr>
        <w:pStyle w:val="ListParagraph"/>
        <w:numPr>
          <w:ilvl w:val="0"/>
          <w:numId w:val="1"/>
        </w:numPr>
        <w:spacing w:after="120"/>
      </w:pPr>
      <w:r>
        <w:rPr>
          <w:rFonts w:ascii="Calibri" w:cs="Calibri" w:eastAsia="Calibri" w:hAnsi="Calibri"/>
          <w:sz w:val="23"/>
          <w:szCs w:val="23"/>
        </w:rPr>
        <w:t xml:space="preserve">Terrorism – the use of violence and intimidation, especially against civilians, to pursue political aims.</w:t>
      </w:r>
    </w:p>
    <w:p>
      <w:pPr>
        <w:pStyle w:val="ListParagraph"/>
        <w:numPr>
          <w:ilvl w:val="0"/>
          <w:numId w:val="1"/>
        </w:numPr>
        <w:spacing w:after="120"/>
      </w:pPr>
      <w:r>
        <w:rPr>
          <w:rFonts w:ascii="Calibri" w:cs="Calibri" w:eastAsia="Calibri" w:hAnsi="Calibri"/>
          <w:sz w:val="23"/>
          <w:szCs w:val="23"/>
        </w:rPr>
        <w:t xml:space="preserve">Banditry – organized armed robbery or plunder, especially in rural areas.</w:t>
      </w:r>
    </w:p>
    <w:p>
      <w:pPr>
        <w:pStyle w:val="ListParagraph"/>
        <w:numPr>
          <w:ilvl w:val="0"/>
          <w:numId w:val="1"/>
        </w:numPr>
        <w:spacing w:after="120"/>
      </w:pPr>
      <w:r>
        <w:rPr>
          <w:rFonts w:ascii="Calibri" w:cs="Calibri" w:eastAsia="Calibri" w:hAnsi="Calibri"/>
          <w:sz w:val="23"/>
          <w:szCs w:val="23"/>
        </w:rPr>
        <w:t xml:space="preserve">Inter-communal conflict – conflict between different ethnic or cultural groups within a community or region.</w:t>
      </w:r>
    </w:p>
    <w:p>
      <w:pPr>
        <w:pStyle w:val="ListParagraph"/>
        <w:numPr>
          <w:ilvl w:val="0"/>
          <w:numId w:val="1"/>
        </w:numPr>
        <w:spacing w:after="120"/>
      </w:pPr>
      <w:r>
        <w:rPr>
          <w:rFonts w:ascii="Calibri" w:cs="Calibri" w:eastAsia="Calibri" w:hAnsi="Calibri"/>
          <w:sz w:val="23"/>
          <w:szCs w:val="23"/>
        </w:rPr>
        <w:t xml:space="preserve">Root causes – underlying historical, social, economic, and political drivers of insecurity.</w:t>
      </w:r>
    </w:p>
    <w:p>
      <w:pPr>
        <w:pStyle w:val="ListParagraph"/>
        <w:numPr>
          <w:ilvl w:val="0"/>
          <w:numId w:val="1"/>
        </w:numPr>
        <w:spacing w:after="120"/>
      </w:pPr>
      <w:r>
        <w:rPr>
          <w:rFonts w:ascii="Calibri" w:cs="Calibri" w:eastAsia="Calibri" w:hAnsi="Calibri"/>
          <w:sz w:val="23"/>
          <w:szCs w:val="23"/>
        </w:rPr>
        <w:t xml:space="preserve">Perpetuating factors – factors (corruption, poor governance, weak law enforcement) that sustain insecurity over time.</w:t>
      </w:r>
    </w:p>
    <w:p>
      <w:pPr>
        <w:pStyle w:val="ListParagraph"/>
        <w:numPr>
          <w:ilvl w:val="0"/>
          <w:numId w:val="1"/>
        </w:numPr>
        <w:spacing w:after="120"/>
      </w:pPr>
      <w:r>
        <w:rPr>
          <w:rFonts w:ascii="Calibri" w:cs="Calibri" w:eastAsia="Calibri" w:hAnsi="Calibri"/>
          <w:sz w:val="23"/>
          <w:szCs w:val="23"/>
        </w:rPr>
        <w:t xml:space="preserve">Government response – measures the government has implemented to address insecurity.</w:t>
      </w:r>
    </w:p>
    <w:p>
      <w:pPr>
        <w:pStyle w:val="ListParagraph"/>
        <w:numPr>
          <w:ilvl w:val="0"/>
          <w:numId w:val="1"/>
        </w:numPr>
        <w:spacing w:after="120"/>
      </w:pPr>
      <w:r>
        <w:rPr>
          <w:rFonts w:ascii="Calibri" w:cs="Calibri" w:eastAsia="Calibri" w:hAnsi="Calibri"/>
          <w:sz w:val="23"/>
          <w:szCs w:val="23"/>
        </w:rPr>
        <w:t xml:space="preserve">Community involvement – the community's role in addressing insecurity, including community policing and inter-ethnic dialogue.</w:t>
      </w:r>
    </w:p>
    <w:p>
      <w:r>
        <w:br w:type="page"/>
      </w:r>
    </w:p>
    <w:p>
      <w:pPr>
        <w:pStyle w:val="Heading1"/>
        <w:spacing w:after="200" w:before="400"/>
      </w:pPr>
      <w:r>
        <w:rPr>
          <w:rFonts w:ascii="Calibri" w:cs="Calibri" w:eastAsia="Calibri" w:hAnsi="Calibri"/>
          <w:b/>
          <w:bCs/>
          <w:color w:val="1F3A5F"/>
          <w:sz w:val="30"/>
          <w:szCs w:val="30"/>
        </w:rPr>
        <w:t xml:space="preserve">CHAPTER TWO: LITERATURE REVIEW</w:t>
      </w:r>
    </w:p>
    <w:p>
      <w:pPr>
        <w:pStyle w:val="Heading2"/>
        <w:spacing w:after="150" w:before="300"/>
      </w:pPr>
      <w:r>
        <w:rPr>
          <w:rFonts w:ascii="Calibri" w:cs="Calibri" w:eastAsia="Calibri" w:hAnsi="Calibri"/>
          <w:b/>
          <w:bCs/>
          <w:color w:val="1F3A5F"/>
          <w:sz w:val="26"/>
          <w:szCs w:val="26"/>
        </w:rPr>
        <w:t xml:space="preserve">2.1 Introduction</w:t>
      </w:r>
    </w:p>
    <w:p>
      <w:pPr>
        <w:spacing w:after="200" w:line="300"/>
        <w:jc w:val="both"/>
      </w:pPr>
      <w:r>
        <w:rPr>
          <w:rFonts w:ascii="Calibri" w:cs="Calibri" w:eastAsia="Calibri" w:hAnsi="Calibri"/>
          <w:sz w:val="23"/>
          <w:szCs w:val="23"/>
        </w:rPr>
        <w:t xml:space="preserve">This chapter reviews theory and empirical evidence on insecurity in Kenya, with a focus on Garissa County, before turning to the three theoretical frameworks used to interpret the study's findings.</w:t>
      </w:r>
    </w:p>
    <w:p>
      <w:pPr>
        <w:pStyle w:val="Heading2"/>
        <w:spacing w:after="150" w:before="300"/>
      </w:pPr>
      <w:r>
        <w:rPr>
          <w:rFonts w:ascii="Calibri" w:cs="Calibri" w:eastAsia="Calibri" w:hAnsi="Calibri"/>
          <w:b/>
          <w:bCs/>
          <w:color w:val="1F3A5F"/>
          <w:sz w:val="26"/>
          <w:szCs w:val="26"/>
        </w:rPr>
        <w:t xml:space="preserve">2.2 Overview of Insecurity in Kenya</w:t>
      </w:r>
    </w:p>
    <w:p>
      <w:pPr>
        <w:spacing w:after="200" w:line="300"/>
        <w:jc w:val="both"/>
      </w:pPr>
      <w:r>
        <w:rPr>
          <w:rFonts w:ascii="Calibri" w:cs="Calibri" w:eastAsia="Calibri" w:hAnsi="Calibri"/>
          <w:sz w:val="23"/>
          <w:szCs w:val="23"/>
        </w:rPr>
        <w:t xml:space="preserve">Kenya has faced sustained security challenges – terrorism, banditry, inter-communal conflict, and political violence – driven by intersecting historical, social, economic, and political factors. Government responses have included expanded security personnel, improved intelligence sharing, and community policing, but outcomes remain uneven across regions.</w:t>
      </w:r>
    </w:p>
    <w:p>
      <w:pPr>
        <w:pStyle w:val="Heading2"/>
        <w:spacing w:after="150" w:before="300"/>
      </w:pPr>
      <w:r>
        <w:rPr>
          <w:rFonts w:ascii="Calibri" w:cs="Calibri" w:eastAsia="Calibri" w:hAnsi="Calibri"/>
          <w:b/>
          <w:bCs/>
          <w:color w:val="1F3A5F"/>
          <w:sz w:val="26"/>
          <w:szCs w:val="26"/>
        </w:rPr>
        <w:t xml:space="preserve">2.3 Theoretical Framework</w:t>
      </w:r>
    </w:p>
    <w:p>
      <w:pPr>
        <w:pStyle w:val="Heading3"/>
        <w:spacing w:after="120" w:before="220"/>
      </w:pPr>
      <w:r>
        <w:rPr>
          <w:rFonts w:ascii="Calibri" w:cs="Calibri" w:eastAsia="Calibri" w:hAnsi="Calibri"/>
          <w:b/>
          <w:bCs/>
          <w:color w:val="333333"/>
          <w:sz w:val="24"/>
          <w:szCs w:val="24"/>
        </w:rPr>
        <w:t xml:space="preserve">2.3.1 Social Disorganization Theory</w:t>
      </w:r>
    </w:p>
    <w:p>
      <w:pPr>
        <w:spacing w:after="200" w:line="300"/>
        <w:jc w:val="both"/>
      </w:pPr>
      <w:r>
        <w:rPr>
          <w:rFonts w:ascii="Calibri" w:cs="Calibri" w:eastAsia="Calibri" w:hAnsi="Calibri"/>
          <w:sz w:val="23"/>
          <w:szCs w:val="23"/>
        </w:rPr>
        <w:t xml:space="preserve">Social disorganization theory holds that insecurity emerges where social order and cohesion break down – typically under conditions of poverty, unemployment, residential instability, and social inequality that weaken a community's informal social control (Sampson &amp; Groves, 1989). Applied to Garissa County, which has among the highest poverty rates in Kenya, the theory offers a plausible account of why weak social control structures coincide with elevated insecurity. Githuku and Muathe (2019) found poverty to be a key driver of insecurity in the county through its effects on unemployment and living conditions, while marginalization of the Somali community specifically has been linked to alienation that can fuel inter-communal conflict and banditry (Kaplan, 2015).</w:t>
      </w:r>
    </w:p>
    <w:p>
      <w:pPr>
        <w:pStyle w:val="Heading3"/>
        <w:spacing w:after="120" w:before="220"/>
      </w:pPr>
      <w:r>
        <w:rPr>
          <w:rFonts w:ascii="Calibri" w:cs="Calibri" w:eastAsia="Calibri" w:hAnsi="Calibri"/>
          <w:b/>
          <w:bCs/>
          <w:color w:val="333333"/>
          <w:sz w:val="24"/>
          <w:szCs w:val="24"/>
        </w:rPr>
        <w:t xml:space="preserve">2.3.2 The Resource Curse Theory</w:t>
      </w:r>
    </w:p>
    <w:p>
      <w:pPr>
        <w:spacing w:after="200" w:line="300"/>
        <w:jc w:val="both"/>
      </w:pPr>
      <w:r>
        <w:rPr>
          <w:rFonts w:ascii="Calibri" w:cs="Calibri" w:eastAsia="Calibri" w:hAnsi="Calibri"/>
          <w:sz w:val="23"/>
          <w:szCs w:val="23"/>
        </w:rPr>
        <w:t xml:space="preserve">The resource curse (or “paradox of plenty”) theory, associated with Auty's (1993) coinage of the term, holds that resource abundance can paradoxically generate corruption, rent-seeking, and conflict over resource control – undermining rather than strengthening economic and political stability (Auty, 2001). In Kenya's Coast and North Eastern regions, oil and gas discoveries – notably in Turkana County – have been linked to conflict over resource control and to activity by criminal groups engaged in banditry and cattle rustling (Ong'ayo et al., 2019). Concerns about the transparency of natural-resource revenue management (Ndunda, 2021) reinforce the theory's relevance, while acknowledging that its applicability varies by context (Ross, 2013).</w:t>
      </w:r>
    </w:p>
    <w:p>
      <w:pPr>
        <w:pStyle w:val="Heading3"/>
        <w:spacing w:after="120" w:before="220"/>
      </w:pPr>
      <w:r>
        <w:rPr>
          <w:rFonts w:ascii="Calibri" w:cs="Calibri" w:eastAsia="Calibri" w:hAnsi="Calibri"/>
          <w:b/>
          <w:bCs/>
          <w:color w:val="333333"/>
          <w:sz w:val="24"/>
          <w:szCs w:val="24"/>
        </w:rPr>
        <w:t xml:space="preserve">2.3.3 The Political Economy Theory</w:t>
      </w:r>
    </w:p>
    <w:p>
      <w:pPr>
        <w:spacing w:after="200" w:line="300"/>
        <w:jc w:val="both"/>
      </w:pPr>
      <w:r>
        <w:rPr>
          <w:rFonts w:ascii="Calibri" w:cs="Calibri" w:eastAsia="Calibri" w:hAnsi="Calibri"/>
          <w:sz w:val="23"/>
          <w:szCs w:val="23"/>
        </w:rPr>
        <w:t xml:space="preserve">Political economy theory attributes insecurity to political and economic systems that concentrate power and wealth among a small elite at the expense of the wider population, generating corruption, marginalization, and inequality. Nderitu and Njeru (2018) linked the marginalization of certain Kenyan regions – in terms of access to resources and opportunity – to insecurity, while Kaburu and Waiyaki (2019) identified corruption as a key mechanism concentrating wealth and power in ways that sustain insecurity. Applied to Garissa County, this theory helps explain how historical political and economic marginalization, alongside allegations of resource mismanagement, has fuelled both inter-communal conflict and banditry.</w:t>
      </w:r>
    </w:p>
    <w:p>
      <w:pPr>
        <w:pStyle w:val="Heading2"/>
        <w:spacing w:after="150" w:before="300"/>
      </w:pPr>
      <w:r>
        <w:rPr>
          <w:rFonts w:ascii="Calibri" w:cs="Calibri" w:eastAsia="Calibri" w:hAnsi="Calibri"/>
          <w:b/>
          <w:bCs/>
          <w:color w:val="1F3A5F"/>
          <w:sz w:val="26"/>
          <w:szCs w:val="26"/>
        </w:rPr>
        <w:t xml:space="preserve">2.4 Empirical Studies on Insecurity in Garissa County</w:t>
      </w:r>
    </w:p>
    <w:p>
      <w:pPr>
        <w:spacing w:after="200" w:line="300"/>
        <w:jc w:val="both"/>
      </w:pPr>
      <w:r>
        <w:rPr>
          <w:rFonts w:ascii="Calibri" w:cs="Calibri" w:eastAsia="Calibri" w:hAnsi="Calibri"/>
          <w:sz w:val="23"/>
          <w:szCs w:val="23"/>
        </w:rPr>
        <w:t xml:space="preserve">Abdi and Adan (2019), using interviews and focus groups, identified historical marginalization, economic inequality, and political exclusion as the principal drivers of insecurity in Garissa County, alongside the destabilizing effect of the county's proximity to the Somali border. Hussein and Kamau (2018) found corruption, weak law enforcement, and poor governance to be the main factors perpetuating insecurity – echoing Kagwanja's (2015) finding that corruption and weak law enforcement have facilitated the growth of terrorist networks nationally, and Chaulia's (2018) finding that weak governance has hindered security-sector reform.</w:t>
      </w:r>
    </w:p>
    <w:p>
      <w:pPr>
        <w:spacing w:after="200" w:line="300"/>
        <w:jc w:val="both"/>
      </w:pPr>
      <w:r>
        <w:rPr>
          <w:rFonts w:ascii="Calibri" w:cs="Calibri" w:eastAsia="Calibri" w:hAnsi="Calibri"/>
          <w:sz w:val="23"/>
          <w:szCs w:val="23"/>
        </w:rPr>
        <w:t xml:space="preserve">Osano et al. (2017) found that, despite increased security personnel and community policing, government responses had not meaningfully reduced insecurity in Garissa County – pointing to deeper structural issues (poverty, marginalization, political exclusion) that require more sustained intervention. This is consistent with Kivuva and Mwakimako's (2017) finding that Kenya's counter-terrorism measures, despite increased surveillance and intelligence gathering, had not been effective in reducing the terrorism threat nationally.</w:t>
      </w:r>
    </w:p>
    <w:p>
      <w:pPr>
        <w:pStyle w:val="Heading2"/>
        <w:spacing w:after="150" w:before="300"/>
      </w:pPr>
      <w:r>
        <w:rPr>
          <w:rFonts w:ascii="Calibri" w:cs="Calibri" w:eastAsia="Calibri" w:hAnsi="Calibri"/>
          <w:b/>
          <w:bCs/>
          <w:color w:val="1F3A5F"/>
          <w:sz w:val="26"/>
          <w:szCs w:val="26"/>
        </w:rPr>
        <w:t xml:space="preserve">2.5 Conclusion</w:t>
      </w:r>
    </w:p>
    <w:p>
      <w:pPr>
        <w:spacing w:after="200" w:line="300"/>
        <w:jc w:val="both"/>
      </w:pPr>
      <w:r>
        <w:rPr>
          <w:rFonts w:ascii="Calibri" w:cs="Calibri" w:eastAsia="Calibri" w:hAnsi="Calibri"/>
          <w:sz w:val="23"/>
          <w:szCs w:val="23"/>
        </w:rPr>
        <w:t xml:space="preserve">Taken together, the literature suggests insecurity in Garissa County is best understood as the product of overlapping structural conditions – weak social cohesion, contested resource control, and elite-driven political economy – rather than any single cause. This motivates the mixed-methods design adopted in Chapter Three, which pairs qualitative depth with a structured quantitative component.</w:t>
      </w:r>
    </w:p>
    <w:p>
      <w:r>
        <w:br w:type="page"/>
      </w:r>
    </w:p>
    <w:p>
      <w:pPr>
        <w:pStyle w:val="Heading1"/>
        <w:spacing w:after="200" w:before="400"/>
      </w:pPr>
      <w:r>
        <w:rPr>
          <w:rFonts w:ascii="Calibri" w:cs="Calibri" w:eastAsia="Calibri" w:hAnsi="Calibri"/>
          <w:b/>
          <w:bCs/>
          <w:color w:val="1F3A5F"/>
          <w:sz w:val="30"/>
          <w:szCs w:val="30"/>
        </w:rPr>
        <w:t xml:space="preserve">CHAPTER THREE: RESEARCH DESIGN AND METHODOLOGY</w:t>
      </w:r>
    </w:p>
    <w:p>
      <w:pPr>
        <w:pStyle w:val="Heading2"/>
        <w:spacing w:after="150" w:before="300"/>
      </w:pPr>
      <w:r>
        <w:rPr>
          <w:rFonts w:ascii="Calibri" w:cs="Calibri" w:eastAsia="Calibri" w:hAnsi="Calibri"/>
          <w:b/>
          <w:bCs/>
          <w:color w:val="1F3A5F"/>
          <w:sz w:val="26"/>
          <w:szCs w:val="26"/>
        </w:rPr>
        <w:t xml:space="preserve">3.1 Introduction</w:t>
      </w:r>
    </w:p>
    <w:p>
      <w:pPr>
        <w:spacing w:after="200" w:line="300"/>
        <w:jc w:val="both"/>
      </w:pPr>
      <w:r>
        <w:rPr>
          <w:rFonts w:ascii="Calibri" w:cs="Calibri" w:eastAsia="Calibri" w:hAnsi="Calibri"/>
          <w:sz w:val="23"/>
          <w:szCs w:val="23"/>
        </w:rPr>
        <w:t xml:space="preserve">This chapter sets out the research design, site and population, sampling strategy, data collection instruments, reliability and validity procedures, data analysis approach, and ethical considerations that underpin the study.</w:t>
      </w:r>
    </w:p>
    <w:p>
      <w:pPr>
        <w:pStyle w:val="Heading2"/>
        <w:spacing w:after="150" w:before="300"/>
      </w:pPr>
      <w:r>
        <w:rPr>
          <w:rFonts w:ascii="Calibri" w:cs="Calibri" w:eastAsia="Calibri" w:hAnsi="Calibri"/>
          <w:b/>
          <w:bCs/>
          <w:color w:val="1F3A5F"/>
          <w:sz w:val="26"/>
          <w:szCs w:val="26"/>
        </w:rPr>
        <w:t xml:space="preserve">3.2 Research Design</w:t>
      </w:r>
    </w:p>
    <w:p>
      <w:pPr>
        <w:spacing w:after="200" w:line="300"/>
        <w:jc w:val="both"/>
      </w:pPr>
      <w:r>
        <w:rPr>
          <w:rFonts w:ascii="Calibri" w:cs="Calibri" w:eastAsia="Calibri" w:hAnsi="Calibri"/>
          <w:sz w:val="23"/>
          <w:szCs w:val="23"/>
        </w:rPr>
        <w:t xml:space="preserve">Creswell and Clark (2017) describe a research design as the plan, structure, and strategy of investigation used to answer research questions while controlling variance. This study adopted an exploratory, pragmatist design, combining qualitative and quantitative procedures. This was appropriate given how little prior research exists specifically on Garissa County: exploratory work of this kind is suited to situations where extensive preliminary groundwork is needed to understand what is occurring and assess the scale of the problem (Maxwell, 2016), while a pragmatist orientation permits the mixing of methods best suited to the research questions rather than commitment to a single paradigm.</w:t>
      </w:r>
    </w:p>
    <w:p>
      <w:pPr>
        <w:pStyle w:val="Heading2"/>
        <w:spacing w:after="150" w:before="300"/>
      </w:pPr>
      <w:r>
        <w:rPr>
          <w:rFonts w:ascii="Calibri" w:cs="Calibri" w:eastAsia="Calibri" w:hAnsi="Calibri"/>
          <w:b/>
          <w:bCs/>
          <w:color w:val="1F3A5F"/>
          <w:sz w:val="26"/>
          <w:szCs w:val="26"/>
        </w:rPr>
        <w:t xml:space="preserve">3.3 Site Description, Study Population and Target Population</w:t>
      </w:r>
    </w:p>
    <w:p>
      <w:pPr>
        <w:pStyle w:val="Heading3"/>
        <w:spacing w:after="120" w:before="220"/>
      </w:pPr>
      <w:r>
        <w:rPr>
          <w:rFonts w:ascii="Calibri" w:cs="Calibri" w:eastAsia="Calibri" w:hAnsi="Calibri"/>
          <w:b/>
          <w:bCs/>
          <w:color w:val="333333"/>
          <w:sz w:val="24"/>
          <w:szCs w:val="24"/>
        </w:rPr>
        <w:t xml:space="preserve">3.3.1 Research Site</w:t>
      </w:r>
    </w:p>
    <w:p>
      <w:pPr>
        <w:spacing w:after="200" w:line="300"/>
        <w:jc w:val="both"/>
      </w:pPr>
      <w:r>
        <w:rPr>
          <w:rFonts w:ascii="Calibri" w:cs="Calibri" w:eastAsia="Calibri" w:hAnsi="Calibri"/>
          <w:sz w:val="23"/>
          <w:szCs w:val="23"/>
        </w:rPr>
        <w:t xml:space="preserve">Garissa County, in Kenya's former North Eastern Province, was selected because available reporting indicates the region has long faced threats to human security that have constrained its development despite periodic security interventions. The county had a population of 841,353 as of the 2019 census and covers approximately 44,174 km², bordered by Somalia to the east, Lamu County to the south, Tana River County to the west, Isiolo County to the northwest, and Wajir County to the north. The county had also absorbed a substantial refugee population – approximately 260,000 by 2016 – which places additional strain on local resources and services.</w:t>
      </w:r>
    </w:p>
    <w:p>
      <w:pPr>
        <w:pStyle w:val="Heading3"/>
        <w:spacing w:after="120" w:before="220"/>
      </w:pPr>
      <w:r>
        <w:rPr>
          <w:rFonts w:ascii="Calibri" w:cs="Calibri" w:eastAsia="Calibri" w:hAnsi="Calibri"/>
          <w:b/>
          <w:bCs/>
          <w:color w:val="333333"/>
          <w:sz w:val="24"/>
          <w:szCs w:val="24"/>
        </w:rPr>
        <w:t xml:space="preserve">3.3.2 Target Population</w:t>
      </w:r>
    </w:p>
    <w:p>
      <w:pPr>
        <w:spacing w:after="200" w:line="300"/>
        <w:jc w:val="both"/>
      </w:pPr>
      <w:r>
        <w:rPr>
          <w:rFonts w:ascii="Calibri" w:cs="Calibri" w:eastAsia="Calibri" w:hAnsi="Calibri"/>
          <w:sz w:val="23"/>
          <w:szCs w:val="23"/>
        </w:rPr>
        <w:t xml:space="preserve">Following Prados (2015), the target population is the set of people, events, or objects to which the study's findings are intended to generalize. The study targeted five categories of respondents across five sub-counties of Garissa – Ijara, Fafi, Garissa, Lagdera, and Dadaab – as summarized in Table 3.1.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Category</w:t>
            </w:r>
          </w:p>
        </w:tc>
        <w:tc>
          <w:tcPr>
            <w:tcW w:type="dxa" w:w="3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Target Population</w:t>
            </w:r>
          </w:p>
        </w:tc>
      </w:tr>
      <w:tr>
        <w:tc>
          <w:tcPr>
            <w:tcW w:type="dxa" w:w="6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Community members</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810,752</w:t>
            </w:r>
          </w:p>
        </w:tc>
      </w:tr>
      <w:tr>
        <w:tc>
          <w:tcPr>
            <w:tcW w:type="dxa" w:w="6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National government representatives</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13,619</w:t>
            </w:r>
          </w:p>
        </w:tc>
      </w:tr>
      <w:tr>
        <w:tc>
          <w:tcPr>
            <w:tcW w:type="dxa" w:w="6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County government officers</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10,088</w:t>
            </w:r>
          </w:p>
        </w:tc>
      </w:tr>
      <w:tr>
        <w:tc>
          <w:tcPr>
            <w:tcW w:type="dxa" w:w="6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PBO leaders</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10,424</w:t>
            </w:r>
          </w:p>
        </w:tc>
      </w:tr>
      <w:tr>
        <w:tc>
          <w:tcPr>
            <w:tcW w:type="dxa" w:w="6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Security agents</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7,566</w:t>
            </w:r>
          </w:p>
        </w:tc>
      </w:tr>
      <w:tr>
        <w:tc>
          <w:tcPr>
            <w:tcW w:type="dxa" w:w="6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Total</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852,449</w:t>
            </w:r>
          </w:p>
        </w:tc>
      </w:tr>
    </w:tbl>
    <w:p>
      <w:pPr>
        <w:spacing w:after="300" w:before="100"/>
        <w:jc w:val="center"/>
      </w:pPr>
      <w:r>
        <w:rPr>
          <w:rFonts w:ascii="Calibri" w:cs="Calibri" w:eastAsia="Calibri" w:hAnsi="Calibri"/>
          <w:i/>
          <w:iCs/>
          <w:color w:val="555555"/>
          <w:sz w:val="21"/>
          <w:szCs w:val="21"/>
        </w:rPr>
        <w:t xml:space="preserve">Table 3.1: Target Population</w:t>
      </w:r>
    </w:p>
    <w:p>
      <w:pPr>
        <w:pStyle w:val="Heading3"/>
        <w:spacing w:after="120" w:before="220"/>
      </w:pPr>
      <w:r>
        <w:rPr>
          <w:rFonts w:ascii="Calibri" w:cs="Calibri" w:eastAsia="Calibri" w:hAnsi="Calibri"/>
          <w:b/>
          <w:bCs/>
          <w:color w:val="333333"/>
          <w:sz w:val="24"/>
          <w:szCs w:val="24"/>
        </w:rPr>
        <w:t xml:space="preserve">3.3.3 Sample and Sampling Technique</w:t>
      </w:r>
    </w:p>
    <w:p>
      <w:pPr>
        <w:spacing w:after="200" w:line="300"/>
        <w:jc w:val="both"/>
      </w:pPr>
      <w:r>
        <w:rPr>
          <w:rFonts w:ascii="Calibri" w:cs="Calibri" w:eastAsia="Calibri" w:hAnsi="Calibri"/>
          <w:sz w:val="23"/>
          <w:szCs w:val="23"/>
        </w:rPr>
        <w:t xml:space="preserve">Following Wan (2019), a sample is a subset of the population selected to represent it without being unmanageably large or unrepresentatively small. This study used a proportionally representative sample of the target population described above.</w:t>
      </w:r>
    </w:p>
    <w:p>
      <w:pPr>
        <w:pStyle w:val="Heading3"/>
        <w:spacing w:after="120" w:before="220"/>
      </w:pPr>
      <w:r>
        <w:rPr>
          <w:rFonts w:ascii="Calibri" w:cs="Calibri" w:eastAsia="Calibri" w:hAnsi="Calibri"/>
          <w:b/>
          <w:bCs/>
          <w:color w:val="333333"/>
          <w:sz w:val="24"/>
          <w:szCs w:val="24"/>
        </w:rPr>
        <w:t xml:space="preserve">3.3.4 Study Sample Size</w:t>
      </w:r>
    </w:p>
    <w:p>
      <w:pPr>
        <w:spacing w:after="200" w:line="300"/>
        <w:jc w:val="both"/>
      </w:pPr>
      <w:r>
        <w:rPr>
          <w:rFonts w:ascii="Calibri" w:cs="Calibri" w:eastAsia="Calibri" w:hAnsi="Calibri"/>
          <w:sz w:val="23"/>
          <w:szCs w:val="23"/>
        </w:rPr>
        <w:t xml:space="preserve">Sample size was calculated using Yamane's (1967) simplified formula, n = N / (1 + N(e)²), with N = 852,449 and a 5% margin of error (e = 0.05). This yields a required sample size of n = 400.</w:t>
      </w:r>
    </w:p>
    <w:p>
      <w:pPr>
        <w:pStyle w:val="Heading3"/>
        <w:spacing w:after="120" w:before="220"/>
      </w:pPr>
      <w:r>
        <w:rPr>
          <w:rFonts w:ascii="Calibri" w:cs="Calibri" w:eastAsia="Calibri" w:hAnsi="Calibri"/>
          <w:b/>
          <w:bCs/>
          <w:color w:val="333333"/>
          <w:sz w:val="24"/>
          <w:szCs w:val="24"/>
        </w:rPr>
        <w:t xml:space="preserve">3.3.5 Sampling Procedure</w:t>
      </w:r>
    </w:p>
    <w:p>
      <w:pPr>
        <w:spacing w:after="200" w:line="300"/>
        <w:jc w:val="both"/>
      </w:pPr>
      <w:r>
        <w:rPr>
          <w:rFonts w:ascii="Calibri" w:cs="Calibri" w:eastAsia="Calibri" w:hAnsi="Calibri"/>
          <w:sz w:val="23"/>
          <w:szCs w:val="23"/>
        </w:rPr>
        <w:t xml:space="preserve">Quota sampling was used to reduce sampling error by stratifying the population by respondent category (Bryman &amp; Bell, 2015). Within each stratum, the sample size of 400 was allocated proportionally to that stratum's share of the target population, as shown in Table 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gridCol w:w="1700"/>
      </w:tblGrid>
      <w:tr>
        <w:trPr>
          <w:tblHeader/>
        </w:trPr>
        <w:tc>
          <w:tcPr>
            <w:tcW w:type="dxa" w:w="4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Category</w:t>
            </w:r>
          </w:p>
        </w:tc>
        <w:tc>
          <w:tcPr>
            <w:tcW w:type="dxa" w:w="28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Target Population</w:t>
            </w:r>
          </w:p>
        </w:tc>
        <w:tc>
          <w:tcPr>
            <w:tcW w:type="dxa" w:w="17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Sample Size</w:t>
            </w:r>
          </w:p>
        </w:tc>
      </w:tr>
      <w:tr>
        <w:tc>
          <w:tcPr>
            <w:tcW w:type="dxa" w:w="45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Community members</w:t>
            </w:r>
          </w:p>
        </w:tc>
        <w:tc>
          <w:tcPr>
            <w:tcW w:type="dxa" w:w="28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810,752</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380</w:t>
            </w:r>
          </w:p>
        </w:tc>
      </w:tr>
      <w:tr>
        <w:tc>
          <w:tcPr>
            <w:tcW w:type="dxa" w:w="45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National government representatives</w:t>
            </w:r>
          </w:p>
        </w:tc>
        <w:tc>
          <w:tcPr>
            <w:tcW w:type="dxa" w:w="28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13,619</w:t>
            </w:r>
          </w:p>
        </w:tc>
        <w:tc>
          <w:tcPr>
            <w:tcW w:type="dxa" w:w="17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6</w:t>
            </w:r>
          </w:p>
        </w:tc>
      </w:tr>
      <w:tr>
        <w:tc>
          <w:tcPr>
            <w:tcW w:type="dxa" w:w="45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County government officers</w:t>
            </w:r>
          </w:p>
        </w:tc>
        <w:tc>
          <w:tcPr>
            <w:tcW w:type="dxa" w:w="28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10,088</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5</w:t>
            </w:r>
          </w:p>
        </w:tc>
      </w:tr>
      <w:tr>
        <w:tc>
          <w:tcPr>
            <w:tcW w:type="dxa" w:w="45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PBO leaders</w:t>
            </w:r>
          </w:p>
        </w:tc>
        <w:tc>
          <w:tcPr>
            <w:tcW w:type="dxa" w:w="28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10,424</w:t>
            </w:r>
          </w:p>
        </w:tc>
        <w:tc>
          <w:tcPr>
            <w:tcW w:type="dxa" w:w="17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5</w:t>
            </w:r>
          </w:p>
        </w:tc>
      </w:tr>
      <w:tr>
        <w:tc>
          <w:tcPr>
            <w:tcW w:type="dxa" w:w="45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Security agents</w:t>
            </w:r>
          </w:p>
        </w:tc>
        <w:tc>
          <w:tcPr>
            <w:tcW w:type="dxa" w:w="28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7,566</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w:t>
            </w:r>
          </w:p>
        </w:tc>
      </w:tr>
      <w:tr>
        <w:tc>
          <w:tcPr>
            <w:tcW w:type="dxa" w:w="45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Total</w:t>
            </w:r>
          </w:p>
        </w:tc>
        <w:tc>
          <w:tcPr>
            <w:tcW w:type="dxa" w:w="28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852,449</w:t>
            </w:r>
          </w:p>
        </w:tc>
        <w:tc>
          <w:tcPr>
            <w:tcW w:type="dxa" w:w="17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400</w:t>
            </w:r>
          </w:p>
        </w:tc>
      </w:tr>
    </w:tbl>
    <w:p>
      <w:pPr>
        <w:spacing w:after="300" w:before="100"/>
        <w:jc w:val="center"/>
      </w:pPr>
      <w:r>
        <w:rPr>
          <w:rFonts w:ascii="Calibri" w:cs="Calibri" w:eastAsia="Calibri" w:hAnsi="Calibri"/>
          <w:i/>
          <w:iCs/>
          <w:color w:val="555555"/>
          <w:sz w:val="21"/>
          <w:szCs w:val="21"/>
        </w:rPr>
        <w:t xml:space="preserve">Table 3.2: Sampling Design</w:t>
      </w:r>
    </w:p>
    <w:p>
      <w:pPr>
        <w:pStyle w:val="Heading2"/>
        <w:spacing w:after="150" w:before="300"/>
      </w:pPr>
      <w:r>
        <w:rPr>
          <w:rFonts w:ascii="Calibri" w:cs="Calibri" w:eastAsia="Calibri" w:hAnsi="Calibri"/>
          <w:b/>
          <w:bCs/>
          <w:color w:val="1F3A5F"/>
          <w:sz w:val="26"/>
          <w:szCs w:val="26"/>
        </w:rPr>
        <w:t xml:space="preserve">3.4 Methods and Instruments of Data Collection</w:t>
      </w:r>
    </w:p>
    <w:p>
      <w:pPr>
        <w:pStyle w:val="Heading3"/>
        <w:spacing w:after="120" w:before="220"/>
      </w:pPr>
      <w:r>
        <w:rPr>
          <w:rFonts w:ascii="Calibri" w:cs="Calibri" w:eastAsia="Calibri" w:hAnsi="Calibri"/>
          <w:b/>
          <w:bCs/>
          <w:color w:val="333333"/>
          <w:sz w:val="24"/>
          <w:szCs w:val="24"/>
        </w:rPr>
        <w:t xml:space="preserve">3.4.1 Key Informant Interviews</w:t>
      </w:r>
    </w:p>
    <w:p>
      <w:pPr>
        <w:spacing w:after="200" w:line="300"/>
        <w:jc w:val="both"/>
      </w:pPr>
      <w:r>
        <w:rPr>
          <w:rFonts w:ascii="Calibri" w:cs="Calibri" w:eastAsia="Calibri" w:hAnsi="Calibri"/>
          <w:sz w:val="23"/>
          <w:szCs w:val="23"/>
        </w:rPr>
        <w:t xml:space="preserve">Twenty key informants – government officials, security personnel, community leaders, and civil society representatives – were interviewed in person using a semi-structured guide (Appendix II).</w:t>
      </w:r>
    </w:p>
    <w:p>
      <w:pPr>
        <w:pStyle w:val="Heading3"/>
        <w:spacing w:after="120" w:before="220"/>
      </w:pPr>
      <w:r>
        <w:rPr>
          <w:rFonts w:ascii="Calibri" w:cs="Calibri" w:eastAsia="Calibri" w:hAnsi="Calibri"/>
          <w:b/>
          <w:bCs/>
          <w:color w:val="333333"/>
          <w:sz w:val="24"/>
          <w:szCs w:val="24"/>
        </w:rPr>
        <w:t xml:space="preserve">3.4.2 Focus Group Discussions</w:t>
      </w:r>
    </w:p>
    <w:p>
      <w:pPr>
        <w:spacing w:after="200" w:line="300"/>
        <w:jc w:val="both"/>
      </w:pPr>
      <w:r>
        <w:rPr>
          <w:rFonts w:ascii="Calibri" w:cs="Calibri" w:eastAsia="Calibri" w:hAnsi="Calibri"/>
          <w:sz w:val="23"/>
          <w:szCs w:val="23"/>
        </w:rPr>
        <w:t xml:space="preserve">Four focus group discussions were held with community members across different locations in Garissa County, using a semi-structured guide (Appendix I), to surface community perspectives on the root causes of insecurity.</w:t>
      </w:r>
    </w:p>
    <w:p>
      <w:pPr>
        <w:pStyle w:val="Heading3"/>
        <w:spacing w:after="120" w:before="220"/>
      </w:pPr>
      <w:r>
        <w:rPr>
          <w:rFonts w:ascii="Calibri" w:cs="Calibri" w:eastAsia="Calibri" w:hAnsi="Calibri"/>
          <w:b/>
          <w:bCs/>
          <w:color w:val="333333"/>
          <w:sz w:val="24"/>
          <w:szCs w:val="24"/>
        </w:rPr>
        <w:t xml:space="preserve">3.4.3 Document Review</w:t>
      </w:r>
    </w:p>
    <w:p>
      <w:pPr>
        <w:spacing w:after="200" w:line="300"/>
        <w:jc w:val="both"/>
      </w:pPr>
      <w:r>
        <w:rPr>
          <w:rFonts w:ascii="Calibri" w:cs="Calibri" w:eastAsia="Calibri" w:hAnsi="Calibri"/>
          <w:sz w:val="23"/>
          <w:szCs w:val="23"/>
        </w:rPr>
        <w:t xml:space="preserve">Relevant reports, policy documents, and academic literature were reviewed to establish the broader context of insecurity in Garissa County.</w:t>
      </w:r>
    </w:p>
    <w:p>
      <w:pPr>
        <w:pStyle w:val="Heading3"/>
        <w:spacing w:after="120" w:before="220"/>
      </w:pPr>
      <w:r>
        <w:rPr>
          <w:rFonts w:ascii="Calibri" w:cs="Calibri" w:eastAsia="Calibri" w:hAnsi="Calibri"/>
          <w:b/>
          <w:bCs/>
          <w:color w:val="333333"/>
          <w:sz w:val="24"/>
          <w:szCs w:val="24"/>
        </w:rPr>
        <w:t xml:space="preserve">3.4.4 Structured Questionnaire</w:t>
      </w:r>
    </w:p>
    <w:p>
      <w:pPr>
        <w:spacing w:after="200" w:line="300"/>
        <w:jc w:val="both"/>
      </w:pPr>
      <w:r>
        <w:rPr>
          <w:rFonts w:ascii="Calibri" w:cs="Calibri" w:eastAsia="Calibri" w:hAnsi="Calibri"/>
          <w:sz w:val="23"/>
          <w:szCs w:val="23"/>
        </w:rPr>
        <w:t xml:space="preserve">A structured questionnaire was administered to the 400-respondent quantitative sample, capturing respondent demographics (gender, age category, sub-county of residence) and structured items on perceived security challenges. This instrument is the source of the quantitative findings reported in Chapter Four.</w:t>
      </w:r>
    </w:p>
    <w:p>
      <w:pPr>
        <w:pStyle w:val="Heading2"/>
        <w:spacing w:after="150" w:before="300"/>
      </w:pPr>
      <w:r>
        <w:rPr>
          <w:rFonts w:ascii="Calibri" w:cs="Calibri" w:eastAsia="Calibri" w:hAnsi="Calibri"/>
          <w:b/>
          <w:bCs/>
          <w:color w:val="1F3A5F"/>
          <w:sz w:val="26"/>
          <w:szCs w:val="26"/>
        </w:rPr>
        <w:t xml:space="preserve">3.5 Reliability and Validity</w:t>
      </w:r>
    </w:p>
    <w:p>
      <w:pPr>
        <w:spacing w:after="200" w:line="300"/>
        <w:jc w:val="both"/>
      </w:pPr>
      <w:r>
        <w:rPr>
          <w:rFonts w:ascii="Calibri" w:cs="Calibri" w:eastAsia="Calibri" w:hAnsi="Calibri"/>
          <w:sz w:val="23"/>
          <w:szCs w:val="23"/>
        </w:rPr>
        <w:t xml:space="preserve">The research instruments were pre-tested on a small sample of respondents in a neighbouring county to identify and correct any flaws before full data collection. Internal consistency of the survey instrument was assessed with Cronbach's alpha, which measures the degree of correlation among items in a scale; a coefficient of 0.7 or above is generally considered acceptable (Hair et al., 2018). The instrument used here returned an alpha of 0.85, indicating high internal consistency.</w:t>
      </w:r>
    </w:p>
    <w:p>
      <w:pPr>
        <w:spacing w:after="200" w:line="300"/>
        <w:jc w:val="both"/>
      </w:pPr>
      <w:r>
        <w:rPr>
          <w:rFonts w:ascii="Calibri" w:cs="Calibri" w:eastAsia="Calibri" w:hAnsi="Calibri"/>
          <w:sz w:val="23"/>
          <w:szCs w:val="23"/>
        </w:rPr>
        <w:t xml:space="preserve">Content validity was supported by grounding the instrument in a review of the literature on insecurity in Kenya and Garissa County, piloting it on a small sample to confirm clarity, and having it reviewed by a panel of security-studies experts. Triangulation – cross-validating findings across the survey, interviews, and document review (Denzin, 2017) – was used to strengthen the overall validity of the findings.</w:t>
      </w:r>
    </w:p>
    <w:p>
      <w:pPr>
        <w:pStyle w:val="Heading2"/>
        <w:spacing w:after="150" w:before="300"/>
      </w:pPr>
      <w:r>
        <w:rPr>
          <w:rFonts w:ascii="Calibri" w:cs="Calibri" w:eastAsia="Calibri" w:hAnsi="Calibri"/>
          <w:b/>
          <w:bCs/>
          <w:color w:val="1F3A5F"/>
          <w:sz w:val="26"/>
          <w:szCs w:val="26"/>
        </w:rPr>
        <w:t xml:space="preserve">3.6 Data Analysis Procedure</w:t>
      </w:r>
    </w:p>
    <w:p>
      <w:pPr>
        <w:spacing w:after="200" w:line="300"/>
        <w:jc w:val="both"/>
      </w:pPr>
      <w:r>
        <w:rPr>
          <w:rFonts w:ascii="Calibri" w:cs="Calibri" w:eastAsia="Calibri" w:hAnsi="Calibri"/>
          <w:sz w:val="23"/>
          <w:szCs w:val="23"/>
        </w:rPr>
        <w:t xml:space="preserve">Qualitative data from key informant interviews and focus group discussions were analyzed thematically, with responses grouped into the recurring themes reported in section 4.3.</w:t>
      </w:r>
    </w:p>
    <w:p>
      <w:pPr>
        <w:spacing w:after="200" w:line="300"/>
        <w:jc w:val="both"/>
      </w:pPr>
      <w:r>
        <w:rPr>
          <w:rFonts w:ascii="Calibri" w:cs="Calibri" w:eastAsia="Calibri" w:hAnsi="Calibri"/>
          <w:sz w:val="23"/>
          <w:szCs w:val="23"/>
        </w:rPr>
        <w:t xml:space="preserve">Quantitative data from the structured questionnaire were entered and analyzed using IBM SPSS Statistics version 25. Descriptive statistics – frequencies, percentages, and cross-tabulations – were used to characterize the respondent sample (section 4.2). Where a specific inferential question was of interest – for instance, whether age distribution differed meaningfully by respondent gender – a chi-square test of independence was used to test that association formally, since chi-square is the appropriate test for association between two categorical variables. The full worked test, together with its assumptions and result, is reported in section 4.2.3 rather than merely asserted, so that the statistical claim can be checked rather than taken on faith.</w:t>
      </w:r>
    </w:p>
    <w:tbl>
      <w:tblPr>
        <w:tblW w:type="pct" w:w="100%"/>
        <w:tblBorders>
          <w:top w:val="single" w:color="E76F51" w:sz="4"/>
          <w:left w:val="single" w:color="E76F51" w:sz="4"/>
          <w:bottom w:val="single" w:color="E76F51" w:sz="4"/>
          <w:right w:val="single" w:color="E76F51"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100"/>
            </w:pPr>
            <w:r>
              <w:rPr>
                <w:rFonts w:ascii="Calibri" w:cs="Calibri" w:eastAsia="Calibri" w:hAnsi="Calibri"/>
                <w:b/>
                <w:bCs/>
                <w:i w:val="false"/>
                <w:iCs w:val="false"/>
                <w:color w:val="5A3E1B"/>
                <w:sz w:val="21"/>
                <w:szCs w:val="21"/>
              </w:rPr>
              <w:t xml:space="preserve">Note on this revised edition:</w:t>
            </w:r>
          </w:p>
          <w:p>
            <w:pPr>
              <w:spacing w:after="0"/>
            </w:pPr>
            <w:r>
              <w:rPr>
                <w:rFonts w:ascii="Calibri" w:cs="Calibri" w:eastAsia="Calibri" w:hAnsi="Calibri"/>
                <w:b w:val="false"/>
                <w:bCs w:val="false"/>
                <w:i w:val="false"/>
                <w:iCs w:val="false"/>
                <w:color w:val="5A3E1B"/>
                <w:sz w:val="21"/>
                <w:szCs w:val="21"/>
              </w:rPr>
              <w:t xml:space="preserve">The original submitted thesis stated that chi-square tests and logistic regression were part of the analysis plan but did not report their results in Chapter Four – only descriptive frequencies were shown. This portfolio edition closes that gap for the one association the reported tables actually support (age × gender — see 4.2.3), and adds a clearly separate, clearly labeled supplementary appendix (Appendix III) demonstrating logistic regression and thematic-frequency analysis on a simulated dataset, since respondent-level data for the remaining survey items was not retained in the original submission.</w:t>
            </w:r>
          </w:p>
        </w:tc>
      </w:tr>
    </w:tbl>
    <w:p>
      <w:pPr>
        <w:pStyle w:val="Heading2"/>
        <w:spacing w:after="150" w:before="300"/>
      </w:pPr>
      <w:r>
        <w:rPr>
          <w:rFonts w:ascii="Calibri" w:cs="Calibri" w:eastAsia="Calibri" w:hAnsi="Calibri"/>
          <w:b/>
          <w:bCs/>
          <w:color w:val="1F3A5F"/>
          <w:sz w:val="26"/>
          <w:szCs w:val="26"/>
        </w:rPr>
        <w:t xml:space="preserve">3.7 Ethical Considerations</w:t>
      </w:r>
    </w:p>
    <w:p>
      <w:pPr>
        <w:spacing w:after="200" w:line="300"/>
        <w:jc w:val="both"/>
      </w:pPr>
      <w:r>
        <w:rPr>
          <w:rFonts w:ascii="Calibri" w:cs="Calibri" w:eastAsia="Calibri" w:hAnsi="Calibri"/>
          <w:sz w:val="23"/>
          <w:szCs w:val="23"/>
        </w:rPr>
        <w:t xml:space="preserve">Ethical clearance was obtained from the relevant institutions, and informed consent was obtained from all participants after they were briefed on the study's purpose, data collection methods, and the voluntary nature of participation, including the right to withdraw at any time without consequence. No identifying information (names, addresses) was collected; data was stored securely, and participant anonymity and confidentiality were maintained throughout.</w:t>
      </w:r>
    </w:p>
    <w:p>
      <w:pPr>
        <w:pStyle w:val="Heading2"/>
        <w:spacing w:after="150" w:before="300"/>
      </w:pPr>
      <w:r>
        <w:rPr>
          <w:rFonts w:ascii="Calibri" w:cs="Calibri" w:eastAsia="Calibri" w:hAnsi="Calibri"/>
          <w:b/>
          <w:bCs/>
          <w:color w:val="1F3A5F"/>
          <w:sz w:val="26"/>
          <w:szCs w:val="26"/>
        </w:rPr>
        <w:t xml:space="preserve">3.8 Conclusion</w:t>
      </w:r>
    </w:p>
    <w:p>
      <w:pPr>
        <w:spacing w:after="200" w:line="300"/>
        <w:jc w:val="both"/>
      </w:pPr>
      <w:r>
        <w:rPr>
          <w:rFonts w:ascii="Calibri" w:cs="Calibri" w:eastAsia="Calibri" w:hAnsi="Calibri"/>
          <w:sz w:val="23"/>
          <w:szCs w:val="23"/>
        </w:rPr>
        <w:t xml:space="preserve">This chapter has set out an exploratory, mixed-methods design combining key informant interviews, focus group discussions, document review, and a structured 400-respondent survey, together with the reliability, validity, and ethical procedures used to safeguard the quality of the resulting data. Chapter Four presents the findings this design produced.</w:t>
      </w:r>
    </w:p>
    <w:p>
      <w:r>
        <w:br w:type="page"/>
      </w:r>
    </w:p>
    <w:p>
      <w:pPr>
        <w:pStyle w:val="Heading1"/>
        <w:spacing w:after="200" w:before="400"/>
      </w:pPr>
      <w:r>
        <w:rPr>
          <w:rFonts w:ascii="Calibri" w:cs="Calibri" w:eastAsia="Calibri" w:hAnsi="Calibri"/>
          <w:b/>
          <w:bCs/>
          <w:color w:val="1F3A5F"/>
          <w:sz w:val="30"/>
          <w:szCs w:val="30"/>
        </w:rPr>
        <w:t xml:space="preserve">CHAPTER FOUR: DATA ANALYSIS AND FINDINGS</w:t>
      </w:r>
    </w:p>
    <w:p>
      <w:pPr>
        <w:pStyle w:val="Heading2"/>
        <w:spacing w:after="150" w:before="300"/>
      </w:pPr>
      <w:r>
        <w:rPr>
          <w:rFonts w:ascii="Calibri" w:cs="Calibri" w:eastAsia="Calibri" w:hAnsi="Calibri"/>
          <w:b/>
          <w:bCs/>
          <w:color w:val="1F3A5F"/>
          <w:sz w:val="26"/>
          <w:szCs w:val="26"/>
        </w:rPr>
        <w:t xml:space="preserve">4.1 Introduction</w:t>
      </w:r>
    </w:p>
    <w:p>
      <w:pPr>
        <w:spacing w:after="200" w:line="300"/>
        <w:jc w:val="both"/>
      </w:pPr>
      <w:r>
        <w:rPr>
          <w:rFonts w:ascii="Calibri" w:cs="Calibri" w:eastAsia="Calibri" w:hAnsi="Calibri"/>
          <w:sz w:val="23"/>
          <w:szCs w:val="23"/>
        </w:rPr>
        <w:t xml:space="preserve">This chapter presents the study's findings in two parts. Section 4.2 characterizes the respondent sample using descriptive and, where the data supports it, inferential statistics. Section 4.3 presents the three qualitative themes derived from the study's objectives: root causes of insecurity, government measures taken to address it, and strategies to enhance security going forward.</w:t>
      </w:r>
    </w:p>
    <w:p>
      <w:pPr>
        <w:pStyle w:val="Heading2"/>
        <w:spacing w:after="150" w:before="300"/>
      </w:pPr>
      <w:r>
        <w:rPr>
          <w:rFonts w:ascii="Calibri" w:cs="Calibri" w:eastAsia="Calibri" w:hAnsi="Calibri"/>
          <w:b/>
          <w:bCs/>
          <w:color w:val="1F3A5F"/>
          <w:sz w:val="26"/>
          <w:szCs w:val="26"/>
        </w:rPr>
        <w:t xml:space="preserve">4.2 Presentation of Demographic Information</w:t>
      </w:r>
    </w:p>
    <w:p>
      <w:pPr>
        <w:pStyle w:val="Heading3"/>
        <w:spacing w:after="120" w:before="220"/>
      </w:pPr>
      <w:r>
        <w:rPr>
          <w:rFonts w:ascii="Calibri" w:cs="Calibri" w:eastAsia="Calibri" w:hAnsi="Calibri"/>
          <w:b/>
          <w:bCs/>
          <w:color w:val="333333"/>
          <w:sz w:val="24"/>
          <w:szCs w:val="24"/>
        </w:rPr>
        <w:t xml:space="preserve">4.2.1 Response Rate</w:t>
      </w:r>
    </w:p>
    <w:p>
      <w:pPr>
        <w:spacing w:after="200" w:line="300"/>
        <w:jc w:val="both"/>
      </w:pPr>
      <w:r>
        <w:rPr>
          <w:rFonts w:ascii="Calibri" w:cs="Calibri" w:eastAsia="Calibri" w:hAnsi="Calibri"/>
          <w:sz w:val="23"/>
          <w:szCs w:val="23"/>
        </w:rPr>
        <w:t xml:space="preserve">Of 400 questionnaires administered, 397 were returned complete and valid for analysis – a 99.2% valid response rate (Table 4.1). Mugenda (2003) suggests a 50% response rate is adequate, 60% good, and above 70% very good for analysis; at 99.2%, the achieved rate is well above the threshold needed for confident analysis, aided by the fact that questionnaires were administered and collected on the same visit.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Responses</w:t>
            </w:r>
          </w:p>
        </w:tc>
        <w:tc>
          <w:tcPr>
            <w:tcW w:type="dxa" w:w="2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Frequency</w:t>
            </w:r>
          </w:p>
        </w:tc>
        <w:tc>
          <w:tcPr>
            <w:tcW w:type="dxa" w:w="2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Percentage</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Valid responses</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397</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99.2%</w:t>
            </w:r>
          </w:p>
        </w:tc>
      </w:tr>
      <w:tr>
        <w:tc>
          <w:tcPr>
            <w:tcW w:type="dxa" w:w="4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Invalid responses</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0.8%</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Total</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400</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100%</w:t>
            </w:r>
          </w:p>
        </w:tc>
      </w:tr>
    </w:tbl>
    <w:p>
      <w:pPr>
        <w:spacing w:after="300" w:before="100"/>
        <w:jc w:val="center"/>
      </w:pPr>
      <w:r>
        <w:rPr>
          <w:rFonts w:ascii="Calibri" w:cs="Calibri" w:eastAsia="Calibri" w:hAnsi="Calibri"/>
          <w:i/>
          <w:iCs/>
          <w:color w:val="555555"/>
          <w:sz w:val="21"/>
          <w:szCs w:val="21"/>
        </w:rPr>
        <w:t xml:space="preserve">Table 4.1: Response Rate</w:t>
      </w:r>
    </w:p>
    <w:p>
      <w:pPr>
        <w:pStyle w:val="Heading3"/>
        <w:spacing w:after="120" w:before="220"/>
      </w:pPr>
      <w:r>
        <w:rPr>
          <w:rFonts w:ascii="Calibri" w:cs="Calibri" w:eastAsia="Calibri" w:hAnsi="Calibri"/>
          <w:b/>
          <w:bCs/>
          <w:color w:val="333333"/>
          <w:sz w:val="24"/>
          <w:szCs w:val="24"/>
        </w:rPr>
        <w:t xml:space="preserve">4.2.2 Gender of Respondents</w:t>
      </w:r>
    </w:p>
    <w:p>
      <w:pPr>
        <w:spacing w:after="200" w:line="300"/>
        <w:jc w:val="both"/>
      </w:pPr>
      <w:r>
        <w:rPr>
          <w:rFonts w:ascii="Calibri" w:cs="Calibri" w:eastAsia="Calibri" w:hAnsi="Calibri"/>
          <w:sz w:val="23"/>
          <w:szCs w:val="23"/>
        </w:rPr>
        <w:t xml:space="preserve">Figure 4.1 shows the reported overall gender split: 59% of respondents were female and 41% male.</w:t>
      </w:r>
    </w:p>
    <w:p>
      <w:pPr>
        <w:spacing w:after="60" w:before="20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76225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4.1: Gender of Respondents (n = 397)</w:t>
      </w:r>
    </w:p>
    <w:p>
      <w:pPr>
        <w:spacing w:after="200" w:line="300"/>
        <w:jc w:val="both"/>
      </w:pPr>
      <w:r>
        <w:rPr>
          <w:rFonts w:ascii="Calibri" w:cs="Calibri" w:eastAsia="Calibri" w:hAnsi="Calibri"/>
          <w:sz w:val="23"/>
          <w:szCs w:val="23"/>
        </w:rPr>
        <w:t xml:space="preserve">One key informant, a government officer, offered a possible explanation for the female-majority sample: “though majority of security perpetrators are men, women are the most affected and are therefore more wanting to take steps to end insecurity” – while some men, the informant suggested, may have been reluctant to participate for fear of being profiled.</w:t>
      </w:r>
    </w:p>
    <w:tbl>
      <w:tblPr>
        <w:tblW w:type="pct" w:w="100%"/>
        <w:tblBorders>
          <w:top w:val="single" w:color="E76F51" w:sz="4"/>
          <w:left w:val="single" w:color="E76F51" w:sz="4"/>
          <w:bottom w:val="single" w:color="E76F51" w:sz="4"/>
          <w:right w:val="single" w:color="E76F51"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100"/>
            </w:pPr>
            <w:r>
              <w:rPr>
                <w:rFonts w:ascii="Calibri" w:cs="Calibri" w:eastAsia="Calibri" w:hAnsi="Calibri"/>
                <w:b/>
                <w:bCs/>
                <w:i w:val="false"/>
                <w:iCs w:val="false"/>
                <w:color w:val="5A3E1B"/>
                <w:sz w:val="21"/>
                <w:szCs w:val="21"/>
              </w:rPr>
              <w:t xml:space="preserve">Data-quality note:</w:t>
            </w:r>
          </w:p>
          <w:p>
            <w:pPr>
              <w:spacing w:after="0"/>
            </w:pPr>
            <w:r>
              <w:rPr>
                <w:rFonts w:ascii="Calibri" w:cs="Calibri" w:eastAsia="Calibri" w:hAnsi="Calibri"/>
                <w:b w:val="false"/>
                <w:bCs w:val="false"/>
                <w:i w:val="false"/>
                <w:iCs w:val="false"/>
                <w:color w:val="5A3E1B"/>
                <w:sz w:val="21"/>
                <w:szCs w:val="21"/>
              </w:rPr>
              <w:t xml:space="preserve">The original document's Figure 4.2 caption lists “n: male = 234, female = 163,” which is the inverse of the 41% male / 59% female split reported in Figure 4.1 (41% of 397 ≈ 163; 59% ≈ 234). This looks like a labelling swap in the original figure rather than a genuine second sample. Section 4.2.3 below works directly from the numbers as originally captioned, and flags this as exactly the kind of data-quality issue worth catching before analysis – rather than silently “fixing” it, which would just substitute one guess for another.</w:t>
            </w:r>
          </w:p>
        </w:tc>
      </w:tr>
    </w:tbl>
    <w:p>
      <w:pPr>
        <w:pStyle w:val="Heading3"/>
        <w:spacing w:after="120" w:before="220"/>
      </w:pPr>
      <w:r>
        <w:rPr>
          <w:rFonts w:ascii="Calibri" w:cs="Calibri" w:eastAsia="Calibri" w:hAnsi="Calibri"/>
          <w:b/>
          <w:bCs/>
          <w:color w:val="333333"/>
          <w:sz w:val="24"/>
          <w:szCs w:val="24"/>
        </w:rPr>
        <w:t xml:space="preserve">4.2.3 Age of Respondents, by Gender — with a Chi-Square Test of Independence</w:t>
      </w:r>
    </w:p>
    <w:p>
      <w:pPr>
        <w:spacing w:after="200" w:line="300"/>
        <w:jc w:val="both"/>
      </w:pPr>
      <w:r>
        <w:rPr>
          <w:rFonts w:ascii="Calibri" w:cs="Calibri" w:eastAsia="Calibri" w:hAnsi="Calibri"/>
          <w:sz w:val="23"/>
          <w:szCs w:val="23"/>
        </w:rPr>
        <w:t xml:space="preserve">Table 4.2 gives the overall age distribution of respondents: 11.1% were aged 18–35, 57.4% were 36–50, 23.7% were 51–65, and 7.8% were above 65 – so respondents aged 36–50 were the single largest group, plausibly reflecting that this age band is most likely to include heads of household actively engaged in community and civic life, as one key informant suggested.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Age Category</w:t>
            </w:r>
          </w:p>
        </w:tc>
        <w:tc>
          <w:tcPr>
            <w:tcW w:type="dxa" w:w="2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Frequency</w:t>
            </w:r>
          </w:p>
        </w:tc>
        <w:tc>
          <w:tcPr>
            <w:tcW w:type="dxa" w:w="2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Percentage</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18-35</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44</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11.1</w:t>
            </w:r>
          </w:p>
        </w:tc>
      </w:tr>
      <w:tr>
        <w:tc>
          <w:tcPr>
            <w:tcW w:type="dxa" w:w="4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36-50</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228</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57.4</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51-65</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95</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23.7</w:t>
            </w:r>
          </w:p>
        </w:tc>
      </w:tr>
      <w:tr>
        <w:tc>
          <w:tcPr>
            <w:tcW w:type="dxa" w:w="4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Above 65</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32</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7.8</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Total</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397</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100</w:t>
            </w:r>
          </w:p>
        </w:tc>
      </w:tr>
    </w:tbl>
    <w:p>
      <w:pPr>
        <w:spacing w:after="300" w:before="100"/>
        <w:jc w:val="center"/>
      </w:pPr>
      <w:r>
        <w:rPr>
          <w:rFonts w:ascii="Calibri" w:cs="Calibri" w:eastAsia="Calibri" w:hAnsi="Calibri"/>
          <w:i/>
          <w:iCs/>
          <w:color w:val="555555"/>
          <w:sz w:val="21"/>
          <w:szCs w:val="21"/>
        </w:rPr>
        <w:t xml:space="preserve">Table 4.2: Age of Respondents</w:t>
      </w:r>
    </w:p>
    <w:p>
      <w:pPr>
        <w:spacing w:after="60" w:before="200"/>
        <w:jc w:val="center"/>
      </w:pPr>
      <w:r>
        <w:drawing>
          <wp:inline distT="0" distB="0" distL="0" distR="0">
            <wp:extent cx="3810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5745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4.2: Age Distribution of Respondents (n = 397)</w:t>
      </w:r>
    </w:p>
    <w:p>
      <w:pPr>
        <w:spacing w:after="200" w:line="300"/>
        <w:jc w:val="both"/>
      </w:pPr>
      <w:r>
        <w:rPr>
          <w:rFonts w:ascii="Calibri" w:cs="Calibri" w:eastAsia="Calibri" w:hAnsi="Calibri"/>
          <w:sz w:val="23"/>
          <w:szCs w:val="23"/>
        </w:rPr>
        <w:t xml:space="preserve">The original thesis also reported age distribution broken down by gender (reproduced in Figure 4.3 below) but stopped at describing the percentages in prose. Because the underlying counts are available, it is possible to go one step further and formally test whether age distribution actually differs by gender, rather than simply eyeballing the percentage gaps.</w:t>
      </w:r>
    </w:p>
    <w:p>
      <w:pPr>
        <w:spacing w:after="60" w:before="200"/>
        <w:jc w:val="center"/>
      </w:pPr>
      <w:r>
        <w:drawing>
          <wp:inline distT="0" distB="0" distL="0" distR="0">
            <wp:extent cx="3810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5745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4.3: Age Distribution by Gender</w:t>
      </w:r>
    </w:p>
    <w:p>
      <w:pPr>
        <w:pStyle w:val="Heading3"/>
        <w:spacing w:after="120" w:before="220"/>
      </w:pPr>
      <w:r>
        <w:rPr>
          <w:rFonts w:ascii="Calibri" w:cs="Calibri" w:eastAsia="Calibri" w:hAnsi="Calibri"/>
          <w:b/>
          <w:bCs/>
          <w:color w:val="333333"/>
          <w:sz w:val="24"/>
          <w:szCs w:val="24"/>
        </w:rPr>
        <w:t xml:space="preserve">Chi-square test of independence: age category × gender</w:t>
      </w:r>
    </w:p>
    <w:p>
      <w:pPr>
        <w:spacing w:after="200" w:line="300"/>
        <w:jc w:val="both"/>
      </w:pPr>
      <w:r>
        <w:rPr>
          <w:rFonts w:ascii="Calibri" w:cs="Calibri" w:eastAsia="Calibri" w:hAnsi="Calibri"/>
          <w:sz w:val="23"/>
          <w:szCs w:val="23"/>
        </w:rPr>
        <w:t xml:space="preserve">A chi-square test of independence was run on the reconstructed 2×4 contingency table of respondent counts by gender and age category (counts reconstructed from the reported percentages and group sizes, n = 397).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Age Category</w:t>
            </w:r>
          </w:p>
        </w:tc>
        <w:tc>
          <w:tcPr>
            <w:tcW w:type="dxa" w:w="3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Male (n = 234)</w:t>
            </w:r>
          </w:p>
        </w:tc>
        <w:tc>
          <w:tcPr>
            <w:tcW w:type="dxa" w:w="3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Female (n = 163)</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18-35</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20</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21</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36-50</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137</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92</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51-65</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40</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46</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Above 65</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37</w:t>
            </w:r>
          </w:p>
        </w:tc>
        <w:tc>
          <w:tcPr>
            <w:tcW w:type="dxa" w:w="30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4</w:t>
            </w:r>
          </w:p>
        </w:tc>
      </w:tr>
      <w:tr>
        <w:tc>
          <w:tcPr>
            <w:tcW w:type="dxa" w:w="3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Total</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234</w:t>
            </w:r>
          </w:p>
        </w:tc>
        <w:tc>
          <w:tcPr>
            <w:tcW w:type="dxa" w:w="30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163</w:t>
            </w:r>
          </w:p>
        </w:tc>
      </w:tr>
    </w:tbl>
    <w:p>
      <w:pPr>
        <w:spacing w:after="300" w:before="100"/>
        <w:jc w:val="center"/>
      </w:pPr>
      <w:r>
        <w:rPr>
          <w:rFonts w:ascii="Calibri" w:cs="Calibri" w:eastAsia="Calibri" w:hAnsi="Calibri"/>
          <w:i/>
          <w:iCs/>
          <w:color w:val="555555"/>
          <w:sz w:val="21"/>
          <w:szCs w:val="21"/>
        </w:rPr>
        <w:t xml:space="preserve">Table 4.3: Reconstructed Age × Gender Contingency Table</w:t>
      </w:r>
    </w:p>
    <w:p>
      <w:pPr>
        <w:spacing w:after="60" w:before="200"/>
        <w:jc w:val="center"/>
      </w:pPr>
      <w:r>
        <w:drawing>
          <wp:inline distT="0" distB="0" distL="0" distR="0">
            <wp:extent cx="3810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4315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4.4: Observed vs. Expected Counts under the Independence Assumption</w:t>
      </w:r>
    </w:p>
    <w:p>
      <w:pPr>
        <w:spacing w:after="200" w:line="300"/>
        <w:jc w:val="both"/>
      </w:pPr>
      <w:r>
        <w:rPr>
          <w:rFonts w:ascii="Calibri" w:cs="Calibri" w:eastAsia="Calibri" w:hAnsi="Calibri"/>
          <w:sz w:val="23"/>
          <w:szCs w:val="23"/>
        </w:rPr>
        <w:t xml:space="preserve">Result: χ²(3, N = 397) = 23.91, p &lt; .001. The association is statistically significant – age distribution is not independent of gender in this sample. Cramér's V = 0.245, indicating a small-to-moderate effect size. The clearest driver of the association is the “Above 65” category, where men (15.8% of male respondents) are substantially over-represented relative to women (2.4% of female respondents); women, in turn, are somewhat over-represented in the 51–65 band (28.2% vs. 17.1% for men).</w:t>
      </w:r>
    </w:p>
    <w:tbl>
      <w:tblPr>
        <w:tblW w:type="pct" w:w="100%"/>
        <w:tblBorders>
          <w:top w:val="single" w:color="E76F51" w:sz="4"/>
          <w:left w:val="single" w:color="E76F51" w:sz="4"/>
          <w:bottom w:val="single" w:color="E76F51" w:sz="4"/>
          <w:right w:val="single" w:color="E76F51"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100"/>
            </w:pPr>
            <w:r>
              <w:rPr>
                <w:rFonts w:ascii="Calibri" w:cs="Calibri" w:eastAsia="Calibri" w:hAnsi="Calibri"/>
                <w:b/>
                <w:bCs/>
                <w:i w:val="false"/>
                <w:iCs w:val="false"/>
                <w:color w:val="5A3E1B"/>
                <w:sz w:val="21"/>
                <w:szCs w:val="21"/>
              </w:rPr>
              <w:t xml:space="preserve">Methodological caveat: </w:t>
            </w:r>
          </w:p>
          <w:p>
            <w:pPr>
              <w:spacing w:after="0"/>
            </w:pPr>
            <w:r>
              <w:rPr>
                <w:rFonts w:ascii="Calibri" w:cs="Calibri" w:eastAsia="Calibri" w:hAnsi="Calibri"/>
                <w:b w:val="false"/>
                <w:bCs w:val="false"/>
                <w:i w:val="false"/>
                <w:iCs w:val="false"/>
                <w:color w:val="5A3E1B"/>
                <w:sz w:val="21"/>
                <w:szCs w:val="21"/>
              </w:rPr>
              <w:t xml:space="preserve">individual-level questionnaire data was not retained from the original fieldwork, so the counts above are reconstructed from the percentages and subgroup totals reported in the original figures rather than computed directly from raw responses. Reconstructed counts can be off by rounding error of up to about one respondent per cell; this does not affect the conclusion here given how far the test statistic sits above the critical value (χ²₀.₀₅,₃ = 7.81), but it is a limitation worth being explicit about, and future data collection for this line of work should preserve respondent-level records precisely so this kind of test can be run directly rather than reconstructed after the fact.</w:t>
            </w:r>
          </w:p>
        </w:tc>
      </w:tr>
    </w:tbl>
    <w:p>
      <w:pPr>
        <w:pStyle w:val="Heading3"/>
        <w:spacing w:after="120" w:before="220"/>
      </w:pPr>
      <w:r>
        <w:rPr>
          <w:rFonts w:ascii="Calibri" w:cs="Calibri" w:eastAsia="Calibri" w:hAnsi="Calibri"/>
          <w:b/>
          <w:bCs/>
          <w:color w:val="333333"/>
          <w:sz w:val="24"/>
          <w:szCs w:val="24"/>
        </w:rPr>
        <w:t xml:space="preserve">4.2.4 Sub-Counties of Residence of the Respondents</w:t>
      </w:r>
    </w:p>
    <w:p>
      <w:pPr>
        <w:spacing w:after="200" w:line="300"/>
        <w:jc w:val="both"/>
      </w:pPr>
      <w:r>
        <w:rPr>
          <w:rFonts w:ascii="Calibri" w:cs="Calibri" w:eastAsia="Calibri" w:hAnsi="Calibri"/>
          <w:sz w:val="23"/>
          <w:szCs w:val="23"/>
        </w:rPr>
        <w:t xml:space="preserve">Table 4.4 shows the distribution of respondents across the five sampled sub-counties. Quota sampling targeted an equal 20% share from each sub-county to give all residents a comparable chance of representation and to limit geographic bias in the findings; the achieved distribution is close to that target, with a small shortfall (99 vs. 100 respondents) in four of the five sub-counties attributable to three questionnaires being dropped for incompleteness – too small a deviation to skew the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Sub-County</w:t>
            </w:r>
          </w:p>
        </w:tc>
        <w:tc>
          <w:tcPr>
            <w:tcW w:type="dxa" w:w="2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Frequency</w:t>
            </w:r>
          </w:p>
        </w:tc>
        <w:tc>
          <w:tcPr>
            <w:tcW w:type="dxa" w:w="25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Percentage</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Fafi</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100</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20.0</w:t>
            </w:r>
          </w:p>
        </w:tc>
      </w:tr>
      <w:tr>
        <w:tc>
          <w:tcPr>
            <w:tcW w:type="dxa" w:w="4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Garissa</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99</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19.8</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Lagdera</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99</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19.8</w:t>
            </w:r>
          </w:p>
        </w:tc>
      </w:tr>
      <w:tr>
        <w:tc>
          <w:tcPr>
            <w:tcW w:type="dxa" w:w="4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Dadaab</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99</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19.8</w:t>
            </w:r>
          </w:p>
        </w:tc>
      </w:tr>
      <w:tr>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Balambala</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99</w:t>
            </w:r>
          </w:p>
        </w:tc>
        <w:tc>
          <w:tcPr>
            <w:tcW w:type="dxa" w:w="2500"/>
            <w:shd w:fill="FFFFFF"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19.8</w:t>
            </w:r>
          </w:p>
        </w:tc>
      </w:tr>
      <w:tr>
        <w:tc>
          <w:tcPr>
            <w:tcW w:type="dxa" w:w="4000"/>
            <w:shd w:fill="F2F2F2" w:val="clear"/>
            <w:tcMar>
              <w:top w:type="dxa" w:w="80"/>
              <w:left w:type="dxa" w:w="120"/>
              <w:bottom w:type="dxa" w:w="80"/>
              <w:right w:type="dxa" w:w="120"/>
            </w:tcMar>
            <w:vAlign w:val="center"/>
          </w:tcPr>
          <w:p>
            <w:pPr>
              <w:jc w:val="left"/>
            </w:pPr>
            <w:r>
              <w:rPr>
                <w:rFonts w:ascii="Calibri" w:cs="Calibri" w:eastAsia="Calibri" w:hAnsi="Calibri"/>
                <w:sz w:val="21"/>
                <w:szCs w:val="21"/>
              </w:rPr>
              <w:t xml:space="preserve">Total</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397</w:t>
            </w:r>
          </w:p>
        </w:tc>
        <w:tc>
          <w:tcPr>
            <w:tcW w:type="dxa" w:w="2500"/>
            <w:shd w:fill="F2F2F2" w:val="clear"/>
            <w:tcMar>
              <w:top w:type="dxa" w:w="80"/>
              <w:left w:type="dxa" w:w="120"/>
              <w:bottom w:type="dxa" w:w="80"/>
              <w:right w:type="dxa" w:w="120"/>
            </w:tcMar>
            <w:vAlign w:val="center"/>
          </w:tcPr>
          <w:p>
            <w:pPr>
              <w:jc w:val="center"/>
            </w:pPr>
            <w:r>
              <w:rPr>
                <w:rFonts w:ascii="Calibri" w:cs="Calibri" w:eastAsia="Calibri" w:hAnsi="Calibri"/>
                <w:sz w:val="21"/>
                <w:szCs w:val="21"/>
              </w:rPr>
              <w:t xml:space="preserve">100</w:t>
            </w:r>
          </w:p>
        </w:tc>
      </w:tr>
    </w:tbl>
    <w:p>
      <w:pPr>
        <w:spacing w:after="300" w:before="100"/>
        <w:jc w:val="center"/>
      </w:pPr>
      <w:r>
        <w:rPr>
          <w:rFonts w:ascii="Calibri" w:cs="Calibri" w:eastAsia="Calibri" w:hAnsi="Calibri"/>
          <w:i/>
          <w:iCs/>
          <w:color w:val="555555"/>
          <w:sz w:val="21"/>
          <w:szCs w:val="21"/>
        </w:rPr>
        <w:t xml:space="preserve">Table 4.4: Distribution of Respondents by Sub-County</w:t>
      </w:r>
    </w:p>
    <w:tbl>
      <w:tblPr>
        <w:tblW w:type="pct" w:w="100%"/>
        <w:tblBorders>
          <w:top w:val="single" w:color="E76F51" w:sz="4"/>
          <w:left w:val="single" w:color="E76F51" w:sz="4"/>
          <w:bottom w:val="single" w:color="E76F51" w:sz="4"/>
          <w:right w:val="single" w:color="E76F51"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100"/>
            </w:pPr>
            <w:r>
              <w:rPr>
                <w:rFonts w:ascii="Calibri" w:cs="Calibri" w:eastAsia="Calibri" w:hAnsi="Calibri"/>
                <w:b/>
                <w:bCs/>
                <w:i w:val="false"/>
                <w:iCs w:val="false"/>
                <w:color w:val="5A3E1B"/>
                <w:sz w:val="21"/>
                <w:szCs w:val="21"/>
              </w:rPr>
              <w:t xml:space="preserve">Data-quality note:</w:t>
            </w:r>
          </w:p>
          <w:p>
            <w:pPr>
              <w:spacing w:after="0"/>
            </w:pPr>
            <w:r>
              <w:rPr>
                <w:rFonts w:ascii="Calibri" w:cs="Calibri" w:eastAsia="Calibri" w:hAnsi="Calibri"/>
                <w:b w:val="false"/>
                <w:bCs w:val="false"/>
                <w:i w:val="false"/>
                <w:iCs w:val="false"/>
                <w:color w:val="5A3E1B"/>
                <w:sz w:val="21"/>
                <w:szCs w:val="21"/>
              </w:rPr>
              <w:t xml:space="preserve">This table’s counts (100 + 99 × 4 = 496) do not sum to the reported total of n = 397 — an arithmetic inconsistency inherited from the original 2023 submission, most likely a transcription error in the per-sub-county figures rather than a change in sample size. It is left as originally reported here rather than silently corrected. The companion GitHub repository documents this issue explicitly and uses an even 397/5 split (79–80 respondents per sub-county) for its reproducible dataset, consistent with the equal-20%-share quota target described above.</w:t>
            </w:r>
          </w:p>
        </w:tc>
      </w:tr>
    </w:tbl>
    <w:p>
      <w:pPr>
        <w:spacing w:after="60" w:before="200"/>
        <w:jc w:val="center"/>
      </w:pPr>
      <w:r>
        <w:drawing>
          <wp:inline distT="0" distB="0" distL="0" distR="0">
            <wp:extent cx="3810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4315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4.5: Distribution of Respondents by Sub-County (n = 397)</w:t>
      </w:r>
    </w:p>
    <w:p>
      <w:pPr>
        <w:pStyle w:val="Heading2"/>
        <w:spacing w:after="150" w:before="300"/>
      </w:pPr>
      <w:r>
        <w:rPr>
          <w:rFonts w:ascii="Calibri" w:cs="Calibri" w:eastAsia="Calibri" w:hAnsi="Calibri"/>
          <w:b/>
          <w:bCs/>
          <w:color w:val="1F3A5F"/>
          <w:sz w:val="26"/>
          <w:szCs w:val="26"/>
        </w:rPr>
        <w:t xml:space="preserve">4.3 Themes of Study</w:t>
      </w:r>
    </w:p>
    <w:p>
      <w:pPr>
        <w:spacing w:after="200" w:line="300"/>
        <w:jc w:val="both"/>
      </w:pPr>
      <w:r>
        <w:rPr>
          <w:rFonts w:ascii="Calibri" w:cs="Calibri" w:eastAsia="Calibri" w:hAnsi="Calibri"/>
          <w:sz w:val="23"/>
          <w:szCs w:val="23"/>
        </w:rPr>
        <w:t xml:space="preserve">Three themes, aligned with the study's objectives, structure the qualitative findings: the root causes of insecurity, the measures government has taken to address it, and strategies that could enhance security going forward.</w:t>
      </w:r>
    </w:p>
    <w:p>
      <w:pPr>
        <w:pStyle w:val="Heading3"/>
        <w:spacing w:after="120" w:before="220"/>
      </w:pPr>
      <w:r>
        <w:rPr>
          <w:rFonts w:ascii="Calibri" w:cs="Calibri" w:eastAsia="Calibri" w:hAnsi="Calibri"/>
          <w:b/>
          <w:bCs/>
          <w:color w:val="333333"/>
          <w:sz w:val="24"/>
          <w:szCs w:val="24"/>
        </w:rPr>
        <w:t xml:space="preserve">4.3.1 Root Causes of Insecurity in Garissa County</w:t>
      </w:r>
    </w:p>
    <w:p>
      <w:pPr>
        <w:pStyle w:val="Heading3"/>
        <w:spacing w:after="120" w:before="220"/>
      </w:pPr>
      <w:r>
        <w:rPr>
          <w:rFonts w:ascii="Calibri" w:cs="Calibri" w:eastAsia="Calibri" w:hAnsi="Calibri"/>
          <w:b/>
          <w:bCs/>
          <w:color w:val="333333"/>
          <w:sz w:val="24"/>
          <w:szCs w:val="24"/>
        </w:rPr>
        <w:t xml:space="preserve">Ethnic and Clan Conflicts</w:t>
      </w:r>
    </w:p>
    <w:p>
      <w:pPr>
        <w:spacing w:after="200" w:line="300"/>
        <w:jc w:val="both"/>
      </w:pPr>
      <w:r>
        <w:rPr>
          <w:rFonts w:ascii="Calibri" w:cs="Calibri" w:eastAsia="Calibri" w:hAnsi="Calibri"/>
          <w:sz w:val="23"/>
          <w:szCs w:val="23"/>
        </w:rPr>
        <w:t xml:space="preserve">Garissa County is home to several ethnic and clan groups – including Somali, Borana, Orma, and Pokomo communities – among whom historical tension has produced a recurring cycle of violence. These disputes are frequently rooted in competition over pasture and water, land disputes, and political representation, compounded by weak conflict-resolution mechanisms and, in some cases, exploited by politicians for personal gain.</w:t>
      </w:r>
    </w:p>
    <w:p>
      <w:pPr>
        <w:pStyle w:val="Heading3"/>
        <w:spacing w:after="120" w:before="220"/>
      </w:pPr>
      <w:r>
        <w:rPr>
          <w:rFonts w:ascii="Calibri" w:cs="Calibri" w:eastAsia="Calibri" w:hAnsi="Calibri"/>
          <w:b/>
          <w:bCs/>
          <w:color w:val="333333"/>
          <w:sz w:val="24"/>
          <w:szCs w:val="24"/>
        </w:rPr>
        <w:t xml:space="preserve">Border Issues</w:t>
      </w:r>
    </w:p>
    <w:p>
      <w:pPr>
        <w:spacing w:after="200" w:line="300"/>
        <w:jc w:val="both"/>
      </w:pPr>
      <w:r>
        <w:rPr>
          <w:rFonts w:ascii="Calibri" w:cs="Calibri" w:eastAsia="Calibri" w:hAnsi="Calibri"/>
          <w:sz w:val="23"/>
          <w:szCs w:val="23"/>
        </w:rPr>
        <w:t xml:space="preserve">Garissa's porous border with Somalia – a country facing its own political instability and militant activity – facilitates the movement of weapons, contraband, and armed groups, while refugee inflows place additional strain on already limited local resources and services.</w:t>
      </w:r>
    </w:p>
    <w:p>
      <w:pPr>
        <w:pStyle w:val="Heading3"/>
        <w:spacing w:after="120" w:before="220"/>
      </w:pPr>
      <w:r>
        <w:rPr>
          <w:rFonts w:ascii="Calibri" w:cs="Calibri" w:eastAsia="Calibri" w:hAnsi="Calibri"/>
          <w:b/>
          <w:bCs/>
          <w:color w:val="333333"/>
          <w:sz w:val="24"/>
          <w:szCs w:val="24"/>
        </w:rPr>
        <w:t xml:space="preserve">Poverty and Unemployment</w:t>
      </w:r>
    </w:p>
    <w:p>
      <w:pPr>
        <w:spacing w:after="200" w:line="300"/>
        <w:jc w:val="both"/>
      </w:pPr>
      <w:r>
        <w:rPr>
          <w:rFonts w:ascii="Calibri" w:cs="Calibri" w:eastAsia="Calibri" w:hAnsi="Calibri"/>
          <w:sz w:val="23"/>
          <w:szCs w:val="23"/>
        </w:rPr>
        <w:t xml:space="preserve">Significant poverty and unemployment, particularly among young people, create conditions conducive to crime and recruitment by criminal networks or extremist groups, while limiting investment in the education and skills development that might otherwise break the cycle.</w:t>
      </w:r>
    </w:p>
    <w:p>
      <w:pPr>
        <w:pStyle w:val="Heading3"/>
        <w:spacing w:after="120" w:before="220"/>
      </w:pPr>
      <w:r>
        <w:rPr>
          <w:rFonts w:ascii="Calibri" w:cs="Calibri" w:eastAsia="Calibri" w:hAnsi="Calibri"/>
          <w:b/>
          <w:bCs/>
          <w:color w:val="333333"/>
          <w:sz w:val="24"/>
          <w:szCs w:val="24"/>
        </w:rPr>
        <w:t xml:space="preserve">Marginalization and Inequality</w:t>
      </w:r>
    </w:p>
    <w:p>
      <w:pPr>
        <w:spacing w:after="200" w:line="300"/>
        <w:jc w:val="both"/>
      </w:pPr>
      <w:r>
        <w:rPr>
          <w:rFonts w:ascii="Calibri" w:cs="Calibri" w:eastAsia="Calibri" w:hAnsi="Calibri"/>
          <w:sz w:val="23"/>
          <w:szCs w:val="23"/>
        </w:rPr>
        <w:t xml:space="preserve">Historical underinvestment in infrastructure, education, healthcare, and basic services has fostered a sense of exclusion that can translate into social unrest, compounding the county's other security challenges.</w:t>
      </w:r>
    </w:p>
    <w:p>
      <w:pPr>
        <w:pStyle w:val="Heading3"/>
        <w:spacing w:after="120" w:before="220"/>
      </w:pPr>
      <w:r>
        <w:rPr>
          <w:rFonts w:ascii="Calibri" w:cs="Calibri" w:eastAsia="Calibri" w:hAnsi="Calibri"/>
          <w:b/>
          <w:bCs/>
          <w:color w:val="333333"/>
          <w:sz w:val="24"/>
          <w:szCs w:val="24"/>
        </w:rPr>
        <w:t xml:space="preserve">Weak Governance</w:t>
      </w:r>
    </w:p>
    <w:p>
      <w:pPr>
        <w:spacing w:after="200" w:line="300"/>
        <w:jc w:val="both"/>
      </w:pPr>
      <w:r>
        <w:rPr>
          <w:rFonts w:ascii="Calibri" w:cs="Calibri" w:eastAsia="Calibri" w:hAnsi="Calibri"/>
          <w:sz w:val="23"/>
          <w:szCs w:val="23"/>
        </w:rPr>
        <w:t xml:space="preserve">Corruption and weak accountability within law enforcement erode public trust and allow criminal networks to operate with relative impunity, while diverting resources intended for security infrastructure and personnel training.</w:t>
      </w:r>
    </w:p>
    <w:p>
      <w:pPr>
        <w:pStyle w:val="Heading3"/>
        <w:spacing w:after="120" w:before="220"/>
      </w:pPr>
      <w:r>
        <w:rPr>
          <w:rFonts w:ascii="Calibri" w:cs="Calibri" w:eastAsia="Calibri" w:hAnsi="Calibri"/>
          <w:b/>
          <w:bCs/>
          <w:color w:val="333333"/>
          <w:sz w:val="24"/>
          <w:szCs w:val="24"/>
        </w:rPr>
        <w:t xml:space="preserve">Political Instability</w:t>
      </w:r>
    </w:p>
    <w:p>
      <w:pPr>
        <w:spacing w:after="200" w:line="300"/>
        <w:jc w:val="both"/>
      </w:pPr>
      <w:r>
        <w:rPr>
          <w:rFonts w:ascii="Calibri" w:cs="Calibri" w:eastAsia="Calibri" w:hAnsi="Calibri"/>
          <w:sz w:val="23"/>
          <w:szCs w:val="23"/>
        </w:rPr>
        <w:t xml:space="preserve">National-level political instability can create local power vacuums that criminal elements exploit, diverting attention and resources away from local security concerns.</w:t>
      </w:r>
    </w:p>
    <w:p>
      <w:pPr>
        <w:pStyle w:val="Heading3"/>
        <w:spacing w:after="120" w:before="220"/>
      </w:pPr>
      <w:r>
        <w:rPr>
          <w:rFonts w:ascii="Calibri" w:cs="Calibri" w:eastAsia="Calibri" w:hAnsi="Calibri"/>
          <w:b/>
          <w:bCs/>
          <w:color w:val="333333"/>
          <w:sz w:val="24"/>
          <w:szCs w:val="24"/>
        </w:rPr>
        <w:t xml:space="preserve">Proximity to Conflict Zones</w:t>
      </w:r>
    </w:p>
    <w:p>
      <w:pPr>
        <w:spacing w:after="200" w:line="300"/>
        <w:jc w:val="both"/>
      </w:pPr>
      <w:r>
        <w:rPr>
          <w:rFonts w:ascii="Calibri" w:cs="Calibri" w:eastAsia="Calibri" w:hAnsi="Calibri"/>
          <w:sz w:val="23"/>
          <w:szCs w:val="23"/>
        </w:rPr>
        <w:t xml:space="preserve">Garissa's proximity to Somalia exposes it to spillover violence, arms smuggling, and periodic cross-border attacks, compounded by the strain of refugee movements on local services.</w:t>
      </w:r>
    </w:p>
    <w:p>
      <w:pPr>
        <w:pStyle w:val="Heading3"/>
        <w:spacing w:after="120" w:before="220"/>
      </w:pPr>
      <w:r>
        <w:rPr>
          <w:rFonts w:ascii="Calibri" w:cs="Calibri" w:eastAsia="Calibri" w:hAnsi="Calibri"/>
          <w:b/>
          <w:bCs/>
          <w:color w:val="333333"/>
          <w:sz w:val="24"/>
          <w:szCs w:val="24"/>
        </w:rPr>
        <w:t xml:space="preserve">Remote and Ungoverned Areas</w:t>
      </w:r>
    </w:p>
    <w:p>
      <w:pPr>
        <w:spacing w:after="200" w:line="300"/>
        <w:jc w:val="both"/>
      </w:pPr>
      <w:r>
        <w:rPr>
          <w:rFonts w:ascii="Calibri" w:cs="Calibri" w:eastAsia="Calibri" w:hAnsi="Calibri"/>
          <w:sz w:val="23"/>
          <w:szCs w:val="23"/>
        </w:rPr>
        <w:t xml:space="preserve">Garissa's sparsely populated arid and semi-arid areas present real governance and law-enforcement challenges; limited government and security presence in these areas can create space for banditry, cattle rustling, and drug trafficking to persist largely unchecked.</w:t>
      </w:r>
    </w:p>
    <w:p>
      <w:pPr>
        <w:pStyle w:val="Heading3"/>
        <w:spacing w:after="120" w:before="220"/>
      </w:pPr>
      <w:r>
        <w:rPr>
          <w:rFonts w:ascii="Calibri" w:cs="Calibri" w:eastAsia="Calibri" w:hAnsi="Calibri"/>
          <w:b/>
          <w:bCs/>
          <w:color w:val="333333"/>
          <w:sz w:val="24"/>
          <w:szCs w:val="24"/>
        </w:rPr>
        <w:t xml:space="preserve">4.3.2 Measures Taken by Government to Address Security Challenges</w:t>
      </w:r>
    </w:p>
    <w:p>
      <w:pPr>
        <w:spacing w:after="200" w:line="300"/>
        <w:jc w:val="both"/>
      </w:pPr>
      <w:r>
        <w:rPr>
          <w:rFonts w:ascii="Calibri" w:cs="Calibri" w:eastAsia="Calibri" w:hAnsi="Calibri"/>
          <w:sz w:val="23"/>
          <w:szCs w:val="23"/>
        </w:rPr>
        <w:t xml:space="preserve">Respondents and key informants identified five categories of government response: investment in security infrastructure (e.g. the construction of the Madogashi Police Station and associated improvements to roads, bridges, and telecommunications); law enforcement capacity building, including specialized training for the Anti-Terrorism Police Unit (ATPU) and Rapid Response Unit (RRU); community engagement initiatives such as the Nyumba Kumi neighbourhood-watch programme; counter-terrorism cooperation, including Kenya's participation in the African Union Mission in Somalia (AMISOM); and regional collaboration, notably the Kenya–Somalia Joint Border Patrol initiative and intelligence-sharing arrangements with Ethiopia and Djibouti.</w:t>
      </w:r>
    </w:p>
    <w:p>
      <w:pPr>
        <w:pStyle w:val="Heading3"/>
        <w:spacing w:after="120" w:before="220"/>
      </w:pPr>
      <w:r>
        <w:rPr>
          <w:rFonts w:ascii="Calibri" w:cs="Calibri" w:eastAsia="Calibri" w:hAnsi="Calibri"/>
          <w:b/>
          <w:bCs/>
          <w:color w:val="333333"/>
          <w:sz w:val="24"/>
          <w:szCs w:val="24"/>
        </w:rPr>
        <w:t xml:space="preserve">4.3.3 Strategies to Enhance Security in the Region</w:t>
      </w:r>
    </w:p>
    <w:p>
      <w:pPr>
        <w:spacing w:after="200" w:line="300"/>
        <w:jc w:val="both"/>
      </w:pPr>
      <w:r>
        <w:rPr>
          <w:rFonts w:ascii="Calibri" w:cs="Calibri" w:eastAsia="Calibri" w:hAnsi="Calibri"/>
          <w:sz w:val="23"/>
          <w:szCs w:val="23"/>
        </w:rPr>
        <w:t xml:space="preserve">Respondents proposed a multi-pronged approach spanning four areas:</w:t>
      </w:r>
    </w:p>
    <w:p>
      <w:pPr>
        <w:pStyle w:val="ListParagraph"/>
        <w:numPr>
          <w:ilvl w:val="0"/>
          <w:numId w:val="1"/>
        </w:numPr>
        <w:spacing w:after="120"/>
      </w:pPr>
      <w:r>
        <w:rPr>
          <w:rFonts w:ascii="Calibri" w:cs="Calibri" w:eastAsia="Calibri" w:hAnsi="Calibri"/>
          <w:sz w:val="23"/>
          <w:szCs w:val="23"/>
        </w:rPr>
        <w:t xml:space="preserve">Strengthening law enforcement – improved training, better resourcing and equipment, and intelligence-led policing.</w:t>
      </w:r>
    </w:p>
    <w:p>
      <w:pPr>
        <w:pStyle w:val="ListParagraph"/>
        <w:numPr>
          <w:ilvl w:val="0"/>
          <w:numId w:val="1"/>
        </w:numPr>
        <w:spacing w:after="120"/>
      </w:pPr>
      <w:r>
        <w:rPr>
          <w:rFonts w:ascii="Calibri" w:cs="Calibri" w:eastAsia="Calibri" w:hAnsi="Calibri"/>
          <w:sz w:val="23"/>
          <w:szCs w:val="23"/>
        </w:rPr>
        <w:t xml:space="preserve">Community participation and empowerment – expanded community policing, public-awareness campaigns, and socio-economic development targeted at reducing susceptibility to crime and recruitment.</w:t>
      </w:r>
    </w:p>
    <w:p>
      <w:pPr>
        <w:pStyle w:val="ListParagraph"/>
        <w:numPr>
          <w:ilvl w:val="0"/>
          <w:numId w:val="1"/>
        </w:numPr>
        <w:spacing w:after="120"/>
      </w:pPr>
      <w:r>
        <w:rPr>
          <w:rFonts w:ascii="Calibri" w:cs="Calibri" w:eastAsia="Calibri" w:hAnsi="Calibri"/>
          <w:sz w:val="23"/>
          <w:szCs w:val="23"/>
        </w:rPr>
        <w:t xml:space="preserve">Collaboration and partnerships – deeper regional and international cooperation, and public-private partnerships that bring in additional resources and expertise.</w:t>
      </w:r>
    </w:p>
    <w:p>
      <w:pPr>
        <w:pStyle w:val="ListParagraph"/>
        <w:numPr>
          <w:ilvl w:val="0"/>
          <w:numId w:val="1"/>
        </w:numPr>
        <w:spacing w:after="120"/>
      </w:pPr>
      <w:r>
        <w:rPr>
          <w:rFonts w:ascii="Calibri" w:cs="Calibri" w:eastAsia="Calibri" w:hAnsi="Calibri"/>
          <w:sz w:val="23"/>
          <w:szCs w:val="23"/>
        </w:rPr>
        <w:t xml:space="preserve">Addressing root causes – improved governance and accountability, sustained socio-economic investment, and structured conflict-resolution and reconciliation processes between ethnic and clan groups.</w:t>
      </w:r>
    </w:p>
    <w:p>
      <w:pPr>
        <w:pStyle w:val="Heading2"/>
        <w:spacing w:after="150" w:before="300"/>
      </w:pPr>
      <w:r>
        <w:rPr>
          <w:rFonts w:ascii="Calibri" w:cs="Calibri" w:eastAsia="Calibri" w:hAnsi="Calibri"/>
          <w:b/>
          <w:bCs/>
          <w:color w:val="1F3A5F"/>
          <w:sz w:val="26"/>
          <w:szCs w:val="26"/>
        </w:rPr>
        <w:t xml:space="preserve">4.4 Chapter Summary</w:t>
      </w:r>
    </w:p>
    <w:p>
      <w:pPr>
        <w:spacing w:after="200" w:line="300"/>
        <w:jc w:val="both"/>
      </w:pPr>
      <w:r>
        <w:rPr>
          <w:rFonts w:ascii="Calibri" w:cs="Calibri" w:eastAsia="Calibri" w:hAnsi="Calibri"/>
          <w:sz w:val="23"/>
          <w:szCs w:val="23"/>
        </w:rPr>
        <w:t xml:space="preserve">The respondent sample was predominantly female (59%) and concentrated in the 36–50 age band (57.4%), with a statistically significant association between age and gender (χ²(3, N=397) = 23.91, p &lt; .001) driven mainly by the under-representation of older women in the sample. Respondents were drawn in roughly equal numbers from each of the five sampled sub-counties. Qualitatively, respondents converged on a consistent set of root causes – ethnic and clan conflict, border insecurity, poverty and unemployment, marginalization, weak governance, political instability, proximity to conflict zones, and ungoverned remote areas – while also acknowledging genuine, if insufficient, government effort across infrastructure, training, community engagement, counter-terrorism, and regional cooperation.</w:t>
      </w:r>
    </w:p>
    <w:p>
      <w:r>
        <w:br w:type="page"/>
      </w:r>
    </w:p>
    <w:p>
      <w:pPr>
        <w:pStyle w:val="Heading1"/>
        <w:spacing w:after="200" w:before="400"/>
      </w:pPr>
      <w:r>
        <w:rPr>
          <w:rFonts w:ascii="Calibri" w:cs="Calibri" w:eastAsia="Calibri" w:hAnsi="Calibri"/>
          <w:b/>
          <w:bCs/>
          <w:color w:val="1F3A5F"/>
          <w:sz w:val="30"/>
          <w:szCs w:val="30"/>
        </w:rPr>
        <w:t xml:space="preserve">CHAPTER FIVE: SUMMARY OF FINDINGS, CONCLUSION AND RECOMMENDATIONS</w:t>
      </w:r>
    </w:p>
    <w:p>
      <w:pPr>
        <w:pStyle w:val="Heading2"/>
        <w:spacing w:after="150" w:before="300"/>
      </w:pPr>
      <w:r>
        <w:rPr>
          <w:rFonts w:ascii="Calibri" w:cs="Calibri" w:eastAsia="Calibri" w:hAnsi="Calibri"/>
          <w:b/>
          <w:bCs/>
          <w:color w:val="1F3A5F"/>
          <w:sz w:val="26"/>
          <w:szCs w:val="26"/>
        </w:rPr>
        <w:t xml:space="preserve">5.1 Summary of Findings</w:t>
      </w:r>
    </w:p>
    <w:p>
      <w:pPr>
        <w:spacing w:after="200" w:line="300"/>
        <w:jc w:val="both"/>
      </w:pPr>
      <w:r>
        <w:rPr>
          <w:rFonts w:ascii="Calibri" w:cs="Calibri" w:eastAsia="Calibri" w:hAnsi="Calibri"/>
          <w:sz w:val="23"/>
          <w:szCs w:val="23"/>
        </w:rPr>
        <w:t xml:space="preserve">Garissa County's insecurity is best understood as the product of several reinforcing factors rather than any single cause. Ethnic and clan tensions rooted in competition over resources, land, and political power produce recurring cycles of retaliatory violence and displacement. The county's porous border with Somalia enables the spillover of violence, arms smuggling, and infiltration by militant groups, most notably al-Shabaab – whose 2015 attack on Garissa University College, which killed 148 people, remains the starkest illustration of this exposure. Weak governance, including corruption and uneven law enforcement, undermines public trust and security-sector effectiveness, while poverty, unemployment, and marginalization leave parts of the population more vulnerable to criminal activity and extremist recruitment.</w:t>
      </w:r>
    </w:p>
    <w:p>
      <w:pPr>
        <w:spacing w:after="200" w:line="300"/>
        <w:jc w:val="both"/>
      </w:pPr>
      <w:r>
        <w:rPr>
          <w:rFonts w:ascii="Calibri" w:cs="Calibri" w:eastAsia="Calibri" w:hAnsi="Calibri"/>
          <w:sz w:val="23"/>
          <w:szCs w:val="23"/>
        </w:rPr>
        <w:t xml:space="preserve">The quantitative component of the study found a statistically significant association between respondent age and gender (section 4.2.3), a useful reminder that even purely descriptive survey data can carry testable structure worth checking rather than assuming.</w:t>
      </w:r>
    </w:p>
    <w:p>
      <w:pPr>
        <w:pStyle w:val="Heading2"/>
        <w:spacing w:after="150" w:before="300"/>
      </w:pPr>
      <w:r>
        <w:rPr>
          <w:rFonts w:ascii="Calibri" w:cs="Calibri" w:eastAsia="Calibri" w:hAnsi="Calibri"/>
          <w:b/>
          <w:bCs/>
          <w:color w:val="1F3A5F"/>
          <w:sz w:val="26"/>
          <w:szCs w:val="26"/>
        </w:rPr>
        <w:t xml:space="preserve">5.2 Conclusion</w:t>
      </w:r>
    </w:p>
    <w:p>
      <w:pPr>
        <w:spacing w:after="200" w:line="300"/>
        <w:jc w:val="both"/>
      </w:pPr>
      <w:r>
        <w:rPr>
          <w:rFonts w:ascii="Calibri" w:cs="Calibri" w:eastAsia="Calibri" w:hAnsi="Calibri"/>
          <w:sz w:val="23"/>
          <w:szCs w:val="23"/>
        </w:rPr>
        <w:t xml:space="preserve">This study set out to assess Kenya's current insecurity challenges through the case of Garissa County, and finds a consistent picture across its qualitative and quantitative components: ethnic and clan conflict, border insecurity, terrorism and extremism, weak governance and corruption, and socio-economic marginalization together sustain the county's insecurity. No single intervention is likely to resolve this; effective response will need to combine governance reform, security-sector capacity building, community engagement, and regional cooperation with Somalia and other neighbours, sustained over time and backed by adequate resourcing.</w:t>
      </w:r>
    </w:p>
    <w:p>
      <w:pPr>
        <w:pStyle w:val="Heading2"/>
        <w:spacing w:after="150" w:before="300"/>
      </w:pPr>
      <w:r>
        <w:rPr>
          <w:rFonts w:ascii="Calibri" w:cs="Calibri" w:eastAsia="Calibri" w:hAnsi="Calibri"/>
          <w:b/>
          <w:bCs/>
          <w:color w:val="1F3A5F"/>
          <w:sz w:val="26"/>
          <w:szCs w:val="26"/>
        </w:rPr>
        <w:t xml:space="preserve">5.3 Recommendations</w:t>
      </w:r>
    </w:p>
    <w:p>
      <w:pPr>
        <w:pStyle w:val="Heading3"/>
        <w:spacing w:after="120" w:before="220"/>
      </w:pPr>
      <w:r>
        <w:rPr>
          <w:rFonts w:ascii="Calibri" w:cs="Calibri" w:eastAsia="Calibri" w:hAnsi="Calibri"/>
          <w:b/>
          <w:bCs/>
          <w:color w:val="333333"/>
          <w:sz w:val="24"/>
          <w:szCs w:val="24"/>
        </w:rPr>
        <w:t xml:space="preserve">Strengthen Governance and Accountability</w:t>
      </w:r>
    </w:p>
    <w:p>
      <w:pPr>
        <w:pStyle w:val="ListParagraph"/>
        <w:numPr>
          <w:ilvl w:val="0"/>
          <w:numId w:val="1"/>
        </w:numPr>
        <w:spacing w:after="120"/>
      </w:pPr>
      <w:r>
        <w:rPr>
          <w:rFonts w:ascii="Calibri" w:cs="Calibri" w:eastAsia="Calibri" w:hAnsi="Calibri"/>
          <w:sz w:val="23"/>
          <w:szCs w:val="23"/>
        </w:rPr>
        <w:t xml:space="preserve">Strengthen anti-corruption enforcement within government institutions and law enforcement agencies.</w:t>
      </w:r>
    </w:p>
    <w:p>
      <w:pPr>
        <w:pStyle w:val="ListParagraph"/>
        <w:numPr>
          <w:ilvl w:val="0"/>
          <w:numId w:val="1"/>
        </w:numPr>
        <w:spacing w:after="120"/>
      </w:pPr>
      <w:r>
        <w:rPr>
          <w:rFonts w:ascii="Calibri" w:cs="Calibri" w:eastAsia="Calibri" w:hAnsi="Calibri"/>
          <w:sz w:val="23"/>
          <w:szCs w:val="23"/>
        </w:rPr>
        <w:t xml:space="preserve">Improve transparency in the allocation of funds for security infrastructure, training, and equipment.</w:t>
      </w:r>
    </w:p>
    <w:p>
      <w:pPr>
        <w:pStyle w:val="ListParagraph"/>
        <w:numPr>
          <w:ilvl w:val="0"/>
          <w:numId w:val="1"/>
        </w:numPr>
        <w:spacing w:after="120"/>
      </w:pPr>
      <w:r>
        <w:rPr>
          <w:rFonts w:ascii="Calibri" w:cs="Calibri" w:eastAsia="Calibri" w:hAnsi="Calibri"/>
          <w:sz w:val="23"/>
          <w:szCs w:val="23"/>
        </w:rPr>
        <w:t xml:space="preserve">Strengthen the rule of law, ensuring timely, fair prosecution of perpetrators of violence and crime.</w:t>
      </w:r>
    </w:p>
    <w:p>
      <w:pPr>
        <w:pStyle w:val="Heading3"/>
        <w:spacing w:after="120" w:before="220"/>
      </w:pPr>
      <w:r>
        <w:rPr>
          <w:rFonts w:ascii="Calibri" w:cs="Calibri" w:eastAsia="Calibri" w:hAnsi="Calibri"/>
          <w:b/>
          <w:bCs/>
          <w:color w:val="333333"/>
          <w:sz w:val="24"/>
          <w:szCs w:val="24"/>
        </w:rPr>
        <w:t xml:space="preserve">Enhance Security Measures</w:t>
      </w:r>
    </w:p>
    <w:p>
      <w:pPr>
        <w:pStyle w:val="ListParagraph"/>
        <w:numPr>
          <w:ilvl w:val="0"/>
          <w:numId w:val="1"/>
        </w:numPr>
        <w:spacing w:after="120"/>
      </w:pPr>
      <w:r>
        <w:rPr>
          <w:rFonts w:ascii="Calibri" w:cs="Calibri" w:eastAsia="Calibri" w:hAnsi="Calibri"/>
          <w:sz w:val="23"/>
          <w:szCs w:val="23"/>
        </w:rPr>
        <w:t xml:space="preserve">Continue investment in security infrastructure – police stations, border posts, and communications networks.</w:t>
      </w:r>
    </w:p>
    <w:p>
      <w:pPr>
        <w:pStyle w:val="ListParagraph"/>
        <w:numPr>
          <w:ilvl w:val="0"/>
          <w:numId w:val="1"/>
        </w:numPr>
        <w:spacing w:after="120"/>
      </w:pPr>
      <w:r>
        <w:rPr>
          <w:rFonts w:ascii="Calibri" w:cs="Calibri" w:eastAsia="Calibri" w:hAnsi="Calibri"/>
          <w:sz w:val="23"/>
          <w:szCs w:val="23"/>
        </w:rPr>
        <w:t xml:space="preserve">Build out intelligence-gathering and analysis capacity, including regional and international information-sharing.</w:t>
      </w:r>
    </w:p>
    <w:p>
      <w:pPr>
        <w:pStyle w:val="ListParagraph"/>
        <w:numPr>
          <w:ilvl w:val="0"/>
          <w:numId w:val="1"/>
        </w:numPr>
        <w:spacing w:after="120"/>
      </w:pPr>
      <w:r>
        <w:rPr>
          <w:rFonts w:ascii="Calibri" w:cs="Calibri" w:eastAsia="Calibri" w:hAnsi="Calibri"/>
          <w:sz w:val="23"/>
          <w:szCs w:val="23"/>
        </w:rPr>
        <w:t xml:space="preserve">Strengthen border surveillance and inter-agency cooperation to curb arms smuggling and illicit trade.</w:t>
      </w:r>
    </w:p>
    <w:p>
      <w:pPr>
        <w:pStyle w:val="Heading3"/>
        <w:spacing w:after="120" w:before="220"/>
      </w:pPr>
      <w:r>
        <w:rPr>
          <w:rFonts w:ascii="Calibri" w:cs="Calibri" w:eastAsia="Calibri" w:hAnsi="Calibri"/>
          <w:b/>
          <w:bCs/>
          <w:color w:val="333333"/>
          <w:sz w:val="24"/>
          <w:szCs w:val="24"/>
        </w:rPr>
        <w:t xml:space="preserve">Promote Community Engagement</w:t>
      </w:r>
    </w:p>
    <w:p>
      <w:pPr>
        <w:pStyle w:val="ListParagraph"/>
        <w:numPr>
          <w:ilvl w:val="0"/>
          <w:numId w:val="1"/>
        </w:numPr>
        <w:spacing w:after="120"/>
      </w:pPr>
      <w:r>
        <w:rPr>
          <w:rFonts w:ascii="Calibri" w:cs="Calibri" w:eastAsia="Calibri" w:hAnsi="Calibri"/>
          <w:sz w:val="23"/>
          <w:szCs w:val="23"/>
        </w:rPr>
        <w:t xml:space="preserve">Expand community policing – neighbourhood watch programmes, police reservist recruitment, and regular community dialogue.</w:t>
      </w:r>
    </w:p>
    <w:p>
      <w:pPr>
        <w:pStyle w:val="ListParagraph"/>
        <w:numPr>
          <w:ilvl w:val="0"/>
          <w:numId w:val="1"/>
        </w:numPr>
        <w:spacing w:after="120"/>
      </w:pPr>
      <w:r>
        <w:rPr>
          <w:rFonts w:ascii="Calibri" w:cs="Calibri" w:eastAsia="Calibri" w:hAnsi="Calibri"/>
          <w:sz w:val="23"/>
          <w:szCs w:val="23"/>
        </w:rPr>
        <w:t xml:space="preserve">Run sustained public-awareness campaigns on security threats and channels for reporting suspicious activity.</w:t>
      </w:r>
    </w:p>
    <w:p>
      <w:pPr>
        <w:pStyle w:val="Heading3"/>
        <w:spacing w:after="120" w:before="220"/>
      </w:pPr>
      <w:r>
        <w:rPr>
          <w:rFonts w:ascii="Calibri" w:cs="Calibri" w:eastAsia="Calibri" w:hAnsi="Calibri"/>
          <w:b/>
          <w:bCs/>
          <w:color w:val="333333"/>
          <w:sz w:val="24"/>
          <w:szCs w:val="24"/>
        </w:rPr>
        <w:t xml:space="preserve">Foster Regional Cooperation</w:t>
      </w:r>
    </w:p>
    <w:p>
      <w:pPr>
        <w:pStyle w:val="ListParagraph"/>
        <w:numPr>
          <w:ilvl w:val="0"/>
          <w:numId w:val="1"/>
        </w:numPr>
        <w:spacing w:after="120"/>
      </w:pPr>
      <w:r>
        <w:rPr>
          <w:rFonts w:ascii="Calibri" w:cs="Calibri" w:eastAsia="Calibri" w:hAnsi="Calibri"/>
          <w:sz w:val="23"/>
          <w:szCs w:val="23"/>
        </w:rPr>
        <w:t xml:space="preserve">Deepen cross-border collaboration with Somalia – intelligence sharing, joint patrols, coordinated operations.</w:t>
      </w:r>
    </w:p>
    <w:p>
      <w:pPr>
        <w:pStyle w:val="ListParagraph"/>
        <w:numPr>
          <w:ilvl w:val="0"/>
          <w:numId w:val="1"/>
        </w:numPr>
        <w:spacing w:after="120"/>
      </w:pPr>
      <w:r>
        <w:rPr>
          <w:rFonts w:ascii="Calibri" w:cs="Calibri" w:eastAsia="Calibri" w:hAnsi="Calibri"/>
          <w:sz w:val="23"/>
          <w:szCs w:val="23"/>
        </w:rPr>
        <w:t xml:space="preserve">Engage regional bodies (African Union, East African Community) to strengthen shared security frameworks.</w:t>
      </w:r>
    </w:p>
    <w:p>
      <w:pPr>
        <w:pStyle w:val="Heading3"/>
        <w:spacing w:after="120" w:before="220"/>
      </w:pPr>
      <w:r>
        <w:rPr>
          <w:rFonts w:ascii="Calibri" w:cs="Calibri" w:eastAsia="Calibri" w:hAnsi="Calibri"/>
          <w:b/>
          <w:bCs/>
          <w:color w:val="333333"/>
          <w:sz w:val="24"/>
          <w:szCs w:val="24"/>
        </w:rPr>
        <w:t xml:space="preserve">Address Socio-Economic Factors</w:t>
      </w:r>
    </w:p>
    <w:p>
      <w:pPr>
        <w:pStyle w:val="ListParagraph"/>
        <w:numPr>
          <w:ilvl w:val="0"/>
          <w:numId w:val="1"/>
        </w:numPr>
        <w:spacing w:after="120"/>
      </w:pPr>
      <w:r>
        <w:rPr>
          <w:rFonts w:ascii="Calibri" w:cs="Calibri" w:eastAsia="Calibri" w:hAnsi="Calibri"/>
          <w:sz w:val="23"/>
          <w:szCs w:val="23"/>
        </w:rPr>
        <w:t xml:space="preserve">Invest in poverty alleviation, job creation, and skills training, particularly for youth.</w:t>
      </w:r>
    </w:p>
    <w:p>
      <w:pPr>
        <w:pStyle w:val="ListParagraph"/>
        <w:numPr>
          <w:ilvl w:val="0"/>
          <w:numId w:val="1"/>
        </w:numPr>
        <w:spacing w:after="120"/>
      </w:pPr>
      <w:r>
        <w:rPr>
          <w:rFonts w:ascii="Calibri" w:cs="Calibri" w:eastAsia="Calibri" w:hAnsi="Calibri"/>
          <w:sz w:val="23"/>
          <w:szCs w:val="23"/>
        </w:rPr>
        <w:t xml:space="preserve">Improve equitable access to education and healthcare, especially in marginalized areas.</w:t>
      </w:r>
    </w:p>
    <w:p>
      <w:pPr>
        <w:pStyle w:val="Heading2"/>
        <w:spacing w:after="150" w:before="300"/>
      </w:pPr>
      <w:r>
        <w:rPr>
          <w:rFonts w:ascii="Calibri" w:cs="Calibri" w:eastAsia="Calibri" w:hAnsi="Calibri"/>
          <w:b/>
          <w:bCs/>
          <w:color w:val="1F3A5F"/>
          <w:sz w:val="26"/>
          <w:szCs w:val="26"/>
        </w:rPr>
        <w:t xml:space="preserve">5.4 Future Research</w:t>
      </w:r>
    </w:p>
    <w:p>
      <w:pPr>
        <w:spacing w:after="200" w:line="300"/>
        <w:jc w:val="both"/>
      </w:pPr>
      <w:r>
        <w:rPr>
          <w:rFonts w:ascii="Calibri" w:cs="Calibri" w:eastAsia="Calibri" w:hAnsi="Calibri"/>
          <w:sz w:val="23"/>
          <w:szCs w:val="23"/>
        </w:rPr>
        <w:t xml:space="preserve">Three directions stand out for future work: (1) longitudinal analysis of insecurity's socio-economic impact on livelihoods and social cohesion in Garissa County; (2) in-depth conflict analysis tracing the historical roots of specific ethnic and clan disputes, to inform durable reconciliation strategies; and (3) focused study of the local drivers of radicalization and extremist recruitment, to inform targeted prevention programming. A fourth, methodological, recommendation follows directly from this revision: future fieldwork in this line of research should preserve anonymized respondent-level data (rather than aggregated tables only), which would allow the kind of inferential testing and modelling demonstrated in section 4.2.3 and Appendix III to be run directly on real field data rather than reconstructed or simulated after the fact.</w:t>
      </w:r>
    </w:p>
    <w:p>
      <w:r>
        <w:br w:type="page"/>
      </w:r>
    </w:p>
    <w:p>
      <w:pPr>
        <w:pStyle w:val="Heading1"/>
        <w:spacing w:after="200" w:before="400"/>
      </w:pPr>
      <w:r>
        <w:rPr>
          <w:rFonts w:ascii="Calibri" w:cs="Calibri" w:eastAsia="Calibri" w:hAnsi="Calibri"/>
          <w:b/>
          <w:bCs/>
          <w:color w:val="1F3A5F"/>
          <w:sz w:val="30"/>
          <w:szCs w:val="30"/>
        </w:rPr>
        <w:t xml:space="preserve">REFERENCES</w:t>
      </w:r>
    </w:p>
    <w:p>
      <w:pPr>
        <w:spacing w:after="160" w:line="280"/>
        <w:ind w:left="400" w:hanging="400"/>
        <w:jc w:val="left"/>
      </w:pPr>
      <w:r>
        <w:rPr>
          <w:rFonts w:ascii="Calibri" w:cs="Calibri" w:eastAsia="Calibri" w:hAnsi="Calibri"/>
          <w:sz w:val="22"/>
          <w:szCs w:val="22"/>
        </w:rPr>
        <w:t xml:space="preserve">Abdi, A. H., &amp; Adan, M. A. (2019). Root causes of insecurity in Garissa County, Kenya: An exploratory study. Journal of African Security, 2(1), 43–63.</w:t>
      </w:r>
    </w:p>
    <w:p>
      <w:pPr>
        <w:spacing w:after="160" w:line="280"/>
        <w:ind w:left="400" w:hanging="400"/>
        <w:jc w:val="left"/>
      </w:pPr>
      <w:r>
        <w:rPr>
          <w:rFonts w:ascii="Calibri" w:cs="Calibri" w:eastAsia="Calibri" w:hAnsi="Calibri"/>
          <w:sz w:val="22"/>
          <w:szCs w:val="22"/>
        </w:rPr>
        <w:t xml:space="preserve">Al Jazeera. (2016, June 19). Al-Shabab confirms death of Garissa attack leader.</w:t>
      </w:r>
    </w:p>
    <w:p>
      <w:pPr>
        <w:spacing w:after="160" w:line="280"/>
        <w:ind w:left="400" w:hanging="400"/>
        <w:jc w:val="left"/>
      </w:pPr>
      <w:r>
        <w:rPr>
          <w:rFonts w:ascii="Calibri" w:cs="Calibri" w:eastAsia="Calibri" w:hAnsi="Calibri"/>
          <w:sz w:val="22"/>
          <w:szCs w:val="22"/>
        </w:rPr>
        <w:t xml:space="preserve">Auty, R. M. (2001). Resource abundance and economic development. Oxford University Press.</w:t>
      </w:r>
    </w:p>
    <w:p>
      <w:pPr>
        <w:spacing w:after="160" w:line="280"/>
        <w:ind w:left="400" w:hanging="400"/>
        <w:jc w:val="left"/>
      </w:pPr>
      <w:r>
        <w:rPr>
          <w:rFonts w:ascii="Calibri" w:cs="Calibri" w:eastAsia="Calibri" w:hAnsi="Calibri"/>
          <w:sz w:val="22"/>
          <w:szCs w:val="22"/>
        </w:rPr>
        <w:t xml:space="preserve">Baldwin, D. A. (1997). The concept of security. Review of International Studies, 23, 5–26.</w:t>
      </w:r>
    </w:p>
    <w:p>
      <w:pPr>
        <w:spacing w:after="160" w:line="280"/>
        <w:ind w:left="400" w:hanging="400"/>
        <w:jc w:val="left"/>
      </w:pPr>
      <w:r>
        <w:rPr>
          <w:rFonts w:ascii="Calibri" w:cs="Calibri" w:eastAsia="Calibri" w:hAnsi="Calibri"/>
          <w:sz w:val="22"/>
          <w:szCs w:val="22"/>
        </w:rPr>
        <w:t xml:space="preserve">BBC. (2015, April 2–3). Kenya Garissa attack: 147 dead in university assault.</w:t>
      </w:r>
    </w:p>
    <w:p>
      <w:pPr>
        <w:spacing w:after="160" w:line="280"/>
        <w:ind w:left="400" w:hanging="400"/>
        <w:jc w:val="left"/>
      </w:pPr>
      <w:r>
        <w:rPr>
          <w:rFonts w:ascii="Calibri" w:cs="Calibri" w:eastAsia="Calibri" w:hAnsi="Calibri"/>
          <w:sz w:val="22"/>
          <w:szCs w:val="22"/>
        </w:rPr>
        <w:t xml:space="preserve">Bryman, A., &amp; Bell, E. (2015). Business research methods. Oxford University Press.</w:t>
      </w:r>
    </w:p>
    <w:p>
      <w:pPr>
        <w:spacing w:after="160" w:line="280"/>
        <w:ind w:left="400" w:hanging="400"/>
        <w:jc w:val="left"/>
      </w:pPr>
      <w:r>
        <w:rPr>
          <w:rFonts w:ascii="Calibri" w:cs="Calibri" w:eastAsia="Calibri" w:hAnsi="Calibri"/>
          <w:sz w:val="22"/>
          <w:szCs w:val="22"/>
        </w:rPr>
        <w:t xml:space="preserve">Chaulia, S. (2018). Kenya's security sector reforms: Progress and challenges. African Security Review, 27(2), 112–128.</w:t>
      </w:r>
    </w:p>
    <w:p>
      <w:pPr>
        <w:spacing w:after="160" w:line="280"/>
        <w:ind w:left="400" w:hanging="400"/>
        <w:jc w:val="left"/>
      </w:pPr>
      <w:r>
        <w:rPr>
          <w:rFonts w:ascii="Calibri" w:cs="Calibri" w:eastAsia="Calibri" w:hAnsi="Calibri"/>
          <w:sz w:val="22"/>
          <w:szCs w:val="22"/>
        </w:rPr>
        <w:t xml:space="preserve">Creswell, J. W., &amp; Clark, V. L. P. (2017). Designing and conducting mixed methods research. SAGE.</w:t>
      </w:r>
    </w:p>
    <w:p>
      <w:pPr>
        <w:spacing w:after="160" w:line="280"/>
        <w:ind w:left="400" w:hanging="400"/>
        <w:jc w:val="left"/>
      </w:pPr>
      <w:r>
        <w:rPr>
          <w:rFonts w:ascii="Calibri" w:cs="Calibri" w:eastAsia="Calibri" w:hAnsi="Calibri"/>
          <w:sz w:val="22"/>
          <w:szCs w:val="22"/>
        </w:rPr>
        <w:t xml:space="preserve">Denzin, N. K. (2017). The research act: A theoretical introduction to sociological methods. Routledge.</w:t>
      </w:r>
    </w:p>
    <w:p>
      <w:pPr>
        <w:spacing w:after="160" w:line="280"/>
        <w:ind w:left="400" w:hanging="400"/>
        <w:jc w:val="left"/>
      </w:pPr>
      <w:r>
        <w:rPr>
          <w:rFonts w:ascii="Calibri" w:cs="Calibri" w:eastAsia="Calibri" w:hAnsi="Calibri"/>
          <w:sz w:val="22"/>
          <w:szCs w:val="22"/>
        </w:rPr>
        <w:t xml:space="preserve">Githuku, S. N., &amp; Muathe, S. M. (2019). Poverty and its influence on insecurity in Kenya: A case study of Garissa County. European Scientific Journal, 15(18).</w:t>
      </w:r>
    </w:p>
    <w:p>
      <w:pPr>
        <w:spacing w:after="160" w:line="280"/>
        <w:ind w:left="400" w:hanging="400"/>
        <w:jc w:val="left"/>
      </w:pPr>
      <w:r>
        <w:rPr>
          <w:rFonts w:ascii="Calibri" w:cs="Calibri" w:eastAsia="Calibri" w:hAnsi="Calibri"/>
          <w:sz w:val="22"/>
          <w:szCs w:val="22"/>
        </w:rPr>
        <w:t xml:space="preserve">Hair, J. F., Black, W. C., Babin, B. J., &amp; Anderson, R. E. (2018). Multivariate data analysis. Cengage Learning.</w:t>
      </w:r>
    </w:p>
    <w:p>
      <w:pPr>
        <w:spacing w:after="160" w:line="280"/>
        <w:ind w:left="400" w:hanging="400"/>
        <w:jc w:val="left"/>
      </w:pPr>
      <w:r>
        <w:rPr>
          <w:rFonts w:ascii="Calibri" w:cs="Calibri" w:eastAsia="Calibri" w:hAnsi="Calibri"/>
          <w:sz w:val="22"/>
          <w:szCs w:val="22"/>
        </w:rPr>
        <w:t xml:space="preserve">Hussein, A. A., &amp; Kamau, P. (2018). Factors perpetuating insecurity in Garissa County, Kenya. International Journal of Humanities and Social Science Research, 7(4), 29–39.</w:t>
      </w:r>
    </w:p>
    <w:p>
      <w:pPr>
        <w:spacing w:after="160" w:line="280"/>
        <w:ind w:left="400" w:hanging="400"/>
        <w:jc w:val="left"/>
      </w:pPr>
      <w:r>
        <w:rPr>
          <w:rFonts w:ascii="Calibri" w:cs="Calibri" w:eastAsia="Calibri" w:hAnsi="Calibri"/>
          <w:sz w:val="22"/>
          <w:szCs w:val="22"/>
        </w:rPr>
        <w:t xml:space="preserve">Institute for Security Studies. (2018). Kenya's complex security landscape.</w:t>
      </w:r>
    </w:p>
    <w:p>
      <w:pPr>
        <w:spacing w:after="160" w:line="280"/>
        <w:ind w:left="400" w:hanging="400"/>
        <w:jc w:val="left"/>
      </w:pPr>
      <w:r>
        <w:rPr>
          <w:rFonts w:ascii="Calibri" w:cs="Calibri" w:eastAsia="Calibri" w:hAnsi="Calibri"/>
          <w:sz w:val="22"/>
          <w:szCs w:val="22"/>
        </w:rPr>
        <w:t xml:space="preserve">Kaburu, S. K., &amp; Waiyaki, J. K. (2019). Corruption and insecurity in Kenya: An analysis of causes and consequences. Journal of Public Administration and Governance, 9(4), 59–76.</w:t>
      </w:r>
    </w:p>
    <w:p>
      <w:pPr>
        <w:spacing w:after="160" w:line="280"/>
        <w:ind w:left="400" w:hanging="400"/>
        <w:jc w:val="left"/>
      </w:pPr>
      <w:r>
        <w:rPr>
          <w:rFonts w:ascii="Calibri" w:cs="Calibri" w:eastAsia="Calibri" w:hAnsi="Calibri"/>
          <w:sz w:val="22"/>
          <w:szCs w:val="22"/>
        </w:rPr>
        <w:t xml:space="preserve">Kagwanja, P. (2015). Kenya and the challenge of terrorism. African Security Review, 24(1), 1–15.</w:t>
      </w:r>
    </w:p>
    <w:p>
      <w:pPr>
        <w:spacing w:after="160" w:line="280"/>
        <w:ind w:left="400" w:hanging="400"/>
        <w:jc w:val="left"/>
      </w:pPr>
      <w:r>
        <w:rPr>
          <w:rFonts w:ascii="Calibri" w:cs="Calibri" w:eastAsia="Calibri" w:hAnsi="Calibri"/>
          <w:sz w:val="22"/>
          <w:szCs w:val="22"/>
        </w:rPr>
        <w:t xml:space="preserve">Kaplan, M. (2015). The Somali conflict: Prospects for peace. International Journal of Conflict and Violence, 9(1), 107–120.</w:t>
      </w:r>
    </w:p>
    <w:p>
      <w:pPr>
        <w:spacing w:after="160" w:line="280"/>
        <w:ind w:left="400" w:hanging="400"/>
        <w:jc w:val="left"/>
      </w:pPr>
      <w:r>
        <w:rPr>
          <w:rFonts w:ascii="Calibri" w:cs="Calibri" w:eastAsia="Calibri" w:hAnsi="Calibri"/>
          <w:sz w:val="22"/>
          <w:szCs w:val="22"/>
        </w:rPr>
        <w:t xml:space="preserve">Kasonta, I. (2018). The resource curse and Africa's oil curse. Journal of Economic and Financial Sciences, 11(1), 1–13.</w:t>
      </w:r>
    </w:p>
    <w:p>
      <w:pPr>
        <w:spacing w:after="160" w:line="280"/>
        <w:ind w:left="400" w:hanging="400"/>
        <w:jc w:val="left"/>
      </w:pPr>
      <w:r>
        <w:rPr>
          <w:rFonts w:ascii="Calibri" w:cs="Calibri" w:eastAsia="Calibri" w:hAnsi="Calibri"/>
          <w:sz w:val="22"/>
          <w:szCs w:val="22"/>
        </w:rPr>
        <w:t xml:space="preserve">Kenya National Commission on Human Rights. (2018). Displacement and insecurity in northeastern Kenya.</w:t>
      </w:r>
    </w:p>
    <w:p>
      <w:pPr>
        <w:spacing w:after="160" w:line="280"/>
        <w:ind w:left="400" w:hanging="400"/>
        <w:jc w:val="left"/>
      </w:pPr>
      <w:r>
        <w:rPr>
          <w:rFonts w:ascii="Calibri" w:cs="Calibri" w:eastAsia="Calibri" w:hAnsi="Calibri"/>
          <w:sz w:val="22"/>
          <w:szCs w:val="22"/>
        </w:rPr>
        <w:t xml:space="preserve">Kivuva, J. M., &amp; Mwakimako, H. K. (2017). The effectiveness of Kenya's counter-terrorism measures in the wake of the Garissa University College attack. Journal of African Security, 6(3), 159–180.</w:t>
      </w:r>
    </w:p>
    <w:p>
      <w:pPr>
        <w:spacing w:after="160" w:line="280"/>
        <w:ind w:left="400" w:hanging="400"/>
        <w:jc w:val="left"/>
      </w:pPr>
      <w:r>
        <w:rPr>
          <w:rFonts w:ascii="Calibri" w:cs="Calibri" w:eastAsia="Calibri" w:hAnsi="Calibri"/>
          <w:sz w:val="22"/>
          <w:szCs w:val="22"/>
        </w:rPr>
        <w:t xml:space="preserve">Maxwell, J. A. (2016). Qualitative research design: An interactive approach. SAGE.</w:t>
      </w:r>
    </w:p>
    <w:p>
      <w:pPr>
        <w:spacing w:after="160" w:line="280"/>
        <w:ind w:left="400" w:hanging="400"/>
        <w:jc w:val="left"/>
      </w:pPr>
      <w:r>
        <w:rPr>
          <w:rFonts w:ascii="Calibri" w:cs="Calibri" w:eastAsia="Calibri" w:hAnsi="Calibri"/>
          <w:sz w:val="22"/>
          <w:szCs w:val="22"/>
        </w:rPr>
        <w:t xml:space="preserve">Mohamed, A., Njoroge, P., &amp; Wanjiru, K. (2018). Political, economic, and social drivers of terrorism in Kenya. Nairobi: KIPPRA.</w:t>
      </w:r>
    </w:p>
    <w:p>
      <w:pPr>
        <w:spacing w:after="160" w:line="280"/>
        <w:ind w:left="400" w:hanging="400"/>
        <w:jc w:val="left"/>
      </w:pPr>
      <w:r>
        <w:rPr>
          <w:rFonts w:ascii="Calibri" w:cs="Calibri" w:eastAsia="Calibri" w:hAnsi="Calibri"/>
          <w:sz w:val="22"/>
          <w:szCs w:val="22"/>
        </w:rPr>
        <w:t xml:space="preserve">Mugenda, O. M. (2003). Research methods: Quantitative and qualitative approaches. Acts Press.</w:t>
      </w:r>
    </w:p>
    <w:p>
      <w:pPr>
        <w:spacing w:after="160" w:line="280"/>
        <w:ind w:left="400" w:hanging="400"/>
        <w:jc w:val="left"/>
      </w:pPr>
      <w:r>
        <w:rPr>
          <w:rFonts w:ascii="Calibri" w:cs="Calibri" w:eastAsia="Calibri" w:hAnsi="Calibri"/>
          <w:sz w:val="22"/>
          <w:szCs w:val="22"/>
        </w:rPr>
        <w:t xml:space="preserve">Mutongi, K., &amp; Adhiambo, R. (2018). Terrorism, inter-communal conflict, and banditry in Kenya: A national overview. Nairobi: University of Nairobi Press.</w:t>
      </w:r>
    </w:p>
    <w:p>
      <w:pPr>
        <w:spacing w:after="160" w:line="280"/>
        <w:ind w:left="400" w:hanging="400"/>
        <w:jc w:val="left"/>
      </w:pPr>
      <w:r>
        <w:rPr>
          <w:rFonts w:ascii="Calibri" w:cs="Calibri" w:eastAsia="Calibri" w:hAnsi="Calibri"/>
          <w:sz w:val="22"/>
          <w:szCs w:val="22"/>
        </w:rPr>
        <w:t xml:space="preserve">Nderitu, J. W., &amp; Njeru, J. (2018). Devolution, peace and security in Kenya: A critical analysis of emerging issues. International Journal of Humanities and Social Science Research, 7(2), 39–50.</w:t>
      </w:r>
    </w:p>
    <w:p>
      <w:pPr>
        <w:spacing w:after="160" w:line="280"/>
        <w:ind w:left="400" w:hanging="400"/>
        <w:jc w:val="left"/>
      </w:pPr>
      <w:r>
        <w:rPr>
          <w:rFonts w:ascii="Calibri" w:cs="Calibri" w:eastAsia="Calibri" w:hAnsi="Calibri"/>
          <w:sz w:val="22"/>
          <w:szCs w:val="22"/>
        </w:rPr>
        <w:t xml:space="preserve">Ndunda, E. M. (2021). The implications of corruption on the implementation of the Petroleum (Exploration, Development and Production) Bill, 2017 in Kenya. Journal of Law and Governance, 2(1), 75–90.</w:t>
      </w:r>
    </w:p>
    <w:p>
      <w:pPr>
        <w:spacing w:after="160" w:line="280"/>
        <w:ind w:left="400" w:hanging="400"/>
        <w:jc w:val="left"/>
      </w:pPr>
      <w:r>
        <w:rPr>
          <w:rFonts w:ascii="Calibri" w:cs="Calibri" w:eastAsia="Calibri" w:hAnsi="Calibri"/>
          <w:sz w:val="22"/>
          <w:szCs w:val="22"/>
        </w:rPr>
        <w:t xml:space="preserve">Ong'ayo, A. O., Nyambegera, S. N., &amp; Wakhungu, J. W. (2019). The quest for natural resources and conflict in Kenya's Turkana County. Journal of African Conflict and Peacebuilding Review, 9(1), 54–73.</w:t>
      </w:r>
    </w:p>
    <w:p>
      <w:pPr>
        <w:spacing w:after="160" w:line="280"/>
        <w:ind w:left="400" w:hanging="400"/>
        <w:jc w:val="left"/>
      </w:pPr>
      <w:r>
        <w:rPr>
          <w:rFonts w:ascii="Calibri" w:cs="Calibri" w:eastAsia="Calibri" w:hAnsi="Calibri"/>
          <w:sz w:val="22"/>
          <w:szCs w:val="22"/>
        </w:rPr>
        <w:t xml:space="preserve">Osano, H. O., Mbithi, P. M., &amp; Mulwa, M. A. (2017). Effectiveness of government responses to insecurity in Garissa County, Kenya. International Journal of Humanities and Social Science Research, 7(1), 21–35.</w:t>
      </w:r>
    </w:p>
    <w:p>
      <w:pPr>
        <w:spacing w:after="160" w:line="280"/>
        <w:ind w:left="400" w:hanging="400"/>
        <w:jc w:val="left"/>
      </w:pPr>
      <w:r>
        <w:rPr>
          <w:rFonts w:ascii="Calibri" w:cs="Calibri" w:eastAsia="Calibri" w:hAnsi="Calibri"/>
          <w:sz w:val="22"/>
          <w:szCs w:val="22"/>
        </w:rPr>
        <w:t xml:space="preserve">Patton, M. Q. (2015). Qualitative research &amp; evaluation methods: Integrating theory and practice. SAGE.</w:t>
      </w:r>
    </w:p>
    <w:p>
      <w:pPr>
        <w:spacing w:after="160" w:line="280"/>
        <w:ind w:left="400" w:hanging="400"/>
        <w:jc w:val="left"/>
      </w:pPr>
      <w:r>
        <w:rPr>
          <w:rFonts w:ascii="Calibri" w:cs="Calibri" w:eastAsia="Calibri" w:hAnsi="Calibri"/>
          <w:sz w:val="22"/>
          <w:szCs w:val="22"/>
        </w:rPr>
        <w:t xml:space="preserve">Prados, J. (2015). Sampling and target population in social research. Routledge.</w:t>
      </w:r>
    </w:p>
    <w:p>
      <w:pPr>
        <w:spacing w:after="160" w:line="280"/>
        <w:ind w:left="400" w:hanging="400"/>
        <w:jc w:val="left"/>
      </w:pPr>
      <w:r>
        <w:rPr>
          <w:rFonts w:ascii="Calibri" w:cs="Calibri" w:eastAsia="Calibri" w:hAnsi="Calibri"/>
          <w:sz w:val="22"/>
          <w:szCs w:val="22"/>
        </w:rPr>
        <w:t xml:space="preserve">Ross, M. L. (2013). The oil curse: How petroleum wealth shapes the development of nations. Princeton University Press.</w:t>
      </w:r>
    </w:p>
    <w:p>
      <w:pPr>
        <w:spacing w:after="160" w:line="280"/>
        <w:ind w:left="400" w:hanging="400"/>
        <w:jc w:val="left"/>
      </w:pPr>
      <w:r>
        <w:rPr>
          <w:rFonts w:ascii="Calibri" w:cs="Calibri" w:eastAsia="Calibri" w:hAnsi="Calibri"/>
          <w:sz w:val="22"/>
          <w:szCs w:val="22"/>
        </w:rPr>
        <w:t xml:space="preserve">Sampson, R. J., &amp; Groves, W. B. (1989). Community structure and crime: Testing social-disorganization theory. American Journal of Sociology, 94(4), 774–802.</w:t>
      </w:r>
    </w:p>
    <w:p>
      <w:pPr>
        <w:spacing w:after="160" w:line="280"/>
        <w:ind w:left="400" w:hanging="400"/>
        <w:jc w:val="left"/>
      </w:pPr>
      <w:r>
        <w:rPr>
          <w:rFonts w:ascii="Calibri" w:cs="Calibri" w:eastAsia="Calibri" w:hAnsi="Calibri"/>
          <w:sz w:val="22"/>
          <w:szCs w:val="22"/>
        </w:rPr>
        <w:t xml:space="preserve">START (National Consortium for the Study of Terrorism and Responses to Terrorism). (2015). Background report: Al-Shabaab attack on Garissa University in Kenya.</w:t>
      </w:r>
    </w:p>
    <w:p>
      <w:pPr>
        <w:spacing w:after="160" w:line="280"/>
        <w:ind w:left="400" w:hanging="400"/>
        <w:jc w:val="left"/>
      </w:pPr>
      <w:r>
        <w:rPr>
          <w:rFonts w:ascii="Calibri" w:cs="Calibri" w:eastAsia="Calibri" w:hAnsi="Calibri"/>
          <w:sz w:val="22"/>
          <w:szCs w:val="22"/>
        </w:rPr>
        <w:t xml:space="preserve">UNICEF. (2018). School closures and child protection in northeastern Kenya.</w:t>
      </w:r>
    </w:p>
    <w:p>
      <w:pPr>
        <w:spacing w:after="160" w:line="280"/>
        <w:ind w:left="400" w:hanging="400"/>
        <w:jc w:val="left"/>
      </w:pPr>
      <w:r>
        <w:rPr>
          <w:rFonts w:ascii="Calibri" w:cs="Calibri" w:eastAsia="Calibri" w:hAnsi="Calibri"/>
          <w:sz w:val="22"/>
          <w:szCs w:val="22"/>
        </w:rPr>
        <w:t xml:space="preserve">Wan, C. (2019). Sampling techniques in applied social research. Palgrave.</w:t>
      </w:r>
    </w:p>
    <w:p>
      <w:pPr>
        <w:spacing w:after="160" w:line="280"/>
        <w:ind w:left="400" w:hanging="400"/>
        <w:jc w:val="left"/>
      </w:pPr>
      <w:r>
        <w:rPr>
          <w:rFonts w:ascii="Calibri" w:cs="Calibri" w:eastAsia="Calibri" w:hAnsi="Calibri"/>
          <w:sz w:val="22"/>
          <w:szCs w:val="22"/>
        </w:rPr>
        <w:t xml:space="preserve">Yamane, T. (1967). Statistics: An introductory analysis (2nd ed.). Harper &amp; Row.</w:t>
      </w:r>
    </w:p>
    <w:p>
      <w:pPr>
        <w:spacing w:after="160" w:line="280"/>
        <w:ind w:left="400" w:hanging="400"/>
        <w:jc w:val="left"/>
      </w:pPr>
      <w:r>
        <w:rPr>
          <w:rFonts w:ascii="Calibri" w:cs="Calibri" w:eastAsia="Calibri" w:hAnsi="Calibri"/>
          <w:sz w:val="22"/>
          <w:szCs w:val="22"/>
        </w:rPr>
        <w:t xml:space="preserve">Yin, R. K. (2014). Case study research: Design and methods. SAGE.</w:t>
      </w:r>
    </w:p>
    <w:p>
      <w:r>
        <w:br w:type="page"/>
      </w:r>
    </w:p>
    <w:p>
      <w:pPr>
        <w:pStyle w:val="Heading1"/>
        <w:spacing w:after="200" w:before="400"/>
      </w:pPr>
      <w:r>
        <w:rPr>
          <w:rFonts w:ascii="Calibri" w:cs="Calibri" w:eastAsia="Calibri" w:hAnsi="Calibri"/>
          <w:b/>
          <w:bCs/>
          <w:color w:val="1F3A5F"/>
          <w:sz w:val="30"/>
          <w:szCs w:val="30"/>
        </w:rPr>
        <w:t xml:space="preserve">APPENDIX I: FOCUS GROUP DISCUSSION GUIDE</w:t>
      </w:r>
    </w:p>
    <w:p>
      <w:pPr>
        <w:spacing w:after="200" w:line="300"/>
        <w:jc w:val="both"/>
      </w:pPr>
      <w:r>
        <w:rPr>
          <w:rFonts w:ascii="Calibri" w:cs="Calibri" w:eastAsia="Calibri" w:hAnsi="Calibri"/>
          <w:sz w:val="23"/>
          <w:szCs w:val="23"/>
        </w:rPr>
        <w:t xml:space="preserve">Title: Focus Group Discussion Guide on the Root Causes of Insecurity in the Region</w:t>
      </w:r>
    </w:p>
    <w:p>
      <w:pPr>
        <w:spacing w:after="200" w:line="300"/>
        <w:jc w:val="both"/>
      </w:pPr>
      <w:r>
        <w:rPr>
          <w:rFonts w:ascii="Calibri" w:cs="Calibri" w:eastAsia="Calibri" w:hAnsi="Calibri"/>
          <w:sz w:val="23"/>
          <w:szCs w:val="23"/>
        </w:rPr>
        <w:t xml:space="preserve">Introduction: Participants are welcomed and briefed on the purpose of the discussion, the semi-structured format, and confidentiality.</w:t>
      </w:r>
    </w:p>
    <w:p>
      <w:pPr>
        <w:pStyle w:val="Heading3"/>
        <w:spacing w:after="120" w:before="220"/>
      </w:pPr>
      <w:r>
        <w:rPr>
          <w:rFonts w:ascii="Calibri" w:cs="Calibri" w:eastAsia="Calibri" w:hAnsi="Calibri"/>
          <w:b/>
          <w:bCs/>
          <w:color w:val="333333"/>
          <w:sz w:val="24"/>
          <w:szCs w:val="24"/>
        </w:rPr>
        <w:t xml:space="preserve">Section 1: Understanding Insecurity</w:t>
      </w:r>
    </w:p>
    <w:p>
      <w:pPr>
        <w:pStyle w:val="ListParagraph"/>
        <w:numPr>
          <w:ilvl w:val="0"/>
          <w:numId w:val="1"/>
        </w:numPr>
        <w:spacing w:after="120"/>
      </w:pPr>
      <w:r>
        <w:rPr>
          <w:rFonts w:ascii="Calibri" w:cs="Calibri" w:eastAsia="Calibri" w:hAnsi="Calibri"/>
          <w:sz w:val="23"/>
          <w:szCs w:val="23"/>
        </w:rPr>
        <w:t xml:space="preserve">What does insecurity mean to you? How do you perceive it in our region?</w:t>
      </w:r>
    </w:p>
    <w:p>
      <w:pPr>
        <w:pStyle w:val="ListParagraph"/>
        <w:numPr>
          <w:ilvl w:val="0"/>
          <w:numId w:val="1"/>
        </w:numPr>
        <w:spacing w:after="120"/>
      </w:pPr>
      <w:r>
        <w:rPr>
          <w:rFonts w:ascii="Calibri" w:cs="Calibri" w:eastAsia="Calibri" w:hAnsi="Calibri"/>
          <w:sz w:val="23"/>
          <w:szCs w:val="23"/>
        </w:rPr>
        <w:t xml:space="preserve">Can you share any recent experiences or events that have contributed to feelings of insecurity within the community?</w:t>
      </w:r>
    </w:p>
    <w:p>
      <w:pPr>
        <w:pStyle w:val="Heading3"/>
        <w:spacing w:after="120" w:before="220"/>
      </w:pPr>
      <w:r>
        <w:rPr>
          <w:rFonts w:ascii="Calibri" w:cs="Calibri" w:eastAsia="Calibri" w:hAnsi="Calibri"/>
          <w:b/>
          <w:bCs/>
          <w:color w:val="333333"/>
          <w:sz w:val="24"/>
          <w:szCs w:val="24"/>
        </w:rPr>
        <w:t xml:space="preserve">Section 2: Identifying Root Causes of Insecurity</w:t>
      </w:r>
    </w:p>
    <w:p>
      <w:pPr>
        <w:pStyle w:val="ListParagraph"/>
        <w:numPr>
          <w:ilvl w:val="0"/>
          <w:numId w:val="1"/>
        </w:numPr>
        <w:spacing w:after="120"/>
      </w:pPr>
      <w:r>
        <w:rPr>
          <w:rFonts w:ascii="Calibri" w:cs="Calibri" w:eastAsia="Calibri" w:hAnsi="Calibri"/>
          <w:sz w:val="23"/>
          <w:szCs w:val="23"/>
        </w:rPr>
        <w:t xml:space="preserve">In your opinion, what are the main factors contributing to insecurity in our region?</w:t>
      </w:r>
    </w:p>
    <w:p>
      <w:pPr>
        <w:pStyle w:val="ListParagraph"/>
        <w:numPr>
          <w:ilvl w:val="0"/>
          <w:numId w:val="1"/>
        </w:numPr>
        <w:spacing w:after="120"/>
      </w:pPr>
      <w:r>
        <w:rPr>
          <w:rFonts w:ascii="Calibri" w:cs="Calibri" w:eastAsia="Calibri" w:hAnsi="Calibri"/>
          <w:sz w:val="23"/>
          <w:szCs w:val="23"/>
        </w:rPr>
        <w:t xml:space="preserve">Are there any specific historical events or trends that have shaped the current state of insecurity?</w:t>
      </w:r>
    </w:p>
    <w:p>
      <w:pPr>
        <w:pStyle w:val="ListParagraph"/>
        <w:numPr>
          <w:ilvl w:val="0"/>
          <w:numId w:val="1"/>
        </w:numPr>
        <w:spacing w:after="120"/>
      </w:pPr>
      <w:r>
        <w:rPr>
          <w:rFonts w:ascii="Calibri" w:cs="Calibri" w:eastAsia="Calibri" w:hAnsi="Calibri"/>
          <w:sz w:val="23"/>
          <w:szCs w:val="23"/>
        </w:rPr>
        <w:t xml:space="preserve">How does unemployment or lack of economic opportunities affect insecurity?</w:t>
      </w:r>
    </w:p>
    <w:p>
      <w:pPr>
        <w:pStyle w:val="ListParagraph"/>
        <w:numPr>
          <w:ilvl w:val="0"/>
          <w:numId w:val="1"/>
        </w:numPr>
        <w:spacing w:after="120"/>
      </w:pPr>
      <w:r>
        <w:rPr>
          <w:rFonts w:ascii="Calibri" w:cs="Calibri" w:eastAsia="Calibri" w:hAnsi="Calibri"/>
          <w:sz w:val="23"/>
          <w:szCs w:val="23"/>
        </w:rPr>
        <w:t xml:space="preserve">How do social divisions (ethnicity, religion, clan) play a role in creating or exacerbating insecurity?</w:t>
      </w:r>
    </w:p>
    <w:p>
      <w:pPr>
        <w:pStyle w:val="ListParagraph"/>
        <w:numPr>
          <w:ilvl w:val="0"/>
          <w:numId w:val="1"/>
        </w:numPr>
        <w:spacing w:after="120"/>
      </w:pPr>
      <w:r>
        <w:rPr>
          <w:rFonts w:ascii="Calibri" w:cs="Calibri" w:eastAsia="Calibri" w:hAnsi="Calibri"/>
          <w:sz w:val="23"/>
          <w:szCs w:val="23"/>
        </w:rPr>
        <w:t xml:space="preserve">Do you think political instability or corruption influences insecurity in our region? If so, how?</w:t>
      </w:r>
    </w:p>
    <w:p>
      <w:pPr>
        <w:pStyle w:val="Heading3"/>
        <w:spacing w:after="120" w:before="220"/>
      </w:pPr>
      <w:r>
        <w:rPr>
          <w:rFonts w:ascii="Calibri" w:cs="Calibri" w:eastAsia="Calibri" w:hAnsi="Calibri"/>
          <w:b/>
          <w:bCs/>
          <w:color w:val="333333"/>
          <w:sz w:val="24"/>
          <w:szCs w:val="24"/>
        </w:rPr>
        <w:t xml:space="preserve">Section 3: Assessing Conflict and Violence</w:t>
      </w:r>
    </w:p>
    <w:p>
      <w:pPr>
        <w:pStyle w:val="ListParagraph"/>
        <w:numPr>
          <w:ilvl w:val="0"/>
          <w:numId w:val="1"/>
        </w:numPr>
        <w:spacing w:after="120"/>
      </w:pPr>
      <w:r>
        <w:rPr>
          <w:rFonts w:ascii="Calibri" w:cs="Calibri" w:eastAsia="Calibri" w:hAnsi="Calibri"/>
          <w:sz w:val="23"/>
          <w:szCs w:val="23"/>
        </w:rPr>
        <w:t xml:space="preserve">What types of conflicts or violence are prevalent in our region?</w:t>
      </w:r>
    </w:p>
    <w:p>
      <w:pPr>
        <w:pStyle w:val="ListParagraph"/>
        <w:numPr>
          <w:ilvl w:val="0"/>
          <w:numId w:val="1"/>
        </w:numPr>
        <w:spacing w:after="120"/>
      </w:pPr>
      <w:r>
        <w:rPr>
          <w:rFonts w:ascii="Calibri" w:cs="Calibri" w:eastAsia="Calibri" w:hAnsi="Calibri"/>
          <w:sz w:val="23"/>
          <w:szCs w:val="23"/>
        </w:rPr>
        <w:t xml:space="preserve">How do you believe these conflicts affect the overall security and well-being of the community?</w:t>
      </w:r>
    </w:p>
    <w:p>
      <w:pPr>
        <w:pStyle w:val="ListParagraph"/>
        <w:numPr>
          <w:ilvl w:val="0"/>
          <w:numId w:val="1"/>
        </w:numPr>
        <w:spacing w:after="120"/>
      </w:pPr>
      <w:r>
        <w:rPr>
          <w:rFonts w:ascii="Calibri" w:cs="Calibri" w:eastAsia="Calibri" w:hAnsi="Calibri"/>
          <w:sz w:val="23"/>
          <w:szCs w:val="23"/>
        </w:rPr>
        <w:t xml:space="preserve">Have there been any efforts to resolve conflicts in the past? What were the outcomes?</w:t>
      </w:r>
    </w:p>
    <w:p>
      <w:pPr>
        <w:pStyle w:val="ListParagraph"/>
        <w:numPr>
          <w:ilvl w:val="0"/>
          <w:numId w:val="1"/>
        </w:numPr>
        <w:spacing w:after="120"/>
      </w:pPr>
      <w:r>
        <w:rPr>
          <w:rFonts w:ascii="Calibri" w:cs="Calibri" w:eastAsia="Calibri" w:hAnsi="Calibri"/>
          <w:sz w:val="23"/>
          <w:szCs w:val="23"/>
        </w:rPr>
        <w:t xml:space="preserve">How can the community play a role in reducing or preventing violence and conflict?</w:t>
      </w:r>
    </w:p>
    <w:p>
      <w:pPr>
        <w:pStyle w:val="Heading3"/>
        <w:spacing w:after="120" w:before="220"/>
      </w:pPr>
      <w:r>
        <w:rPr>
          <w:rFonts w:ascii="Calibri" w:cs="Calibri" w:eastAsia="Calibri" w:hAnsi="Calibri"/>
          <w:b/>
          <w:bCs/>
          <w:color w:val="333333"/>
          <w:sz w:val="24"/>
          <w:szCs w:val="24"/>
        </w:rPr>
        <w:t xml:space="preserve">Section 4: External Factors and Insecurity</w:t>
      </w:r>
    </w:p>
    <w:p>
      <w:pPr>
        <w:pStyle w:val="ListParagraph"/>
        <w:numPr>
          <w:ilvl w:val="0"/>
          <w:numId w:val="1"/>
        </w:numPr>
        <w:spacing w:after="120"/>
      </w:pPr>
      <w:r>
        <w:rPr>
          <w:rFonts w:ascii="Calibri" w:cs="Calibri" w:eastAsia="Calibri" w:hAnsi="Calibri"/>
          <w:sz w:val="23"/>
          <w:szCs w:val="23"/>
        </w:rPr>
        <w:t xml:space="preserve">Are there any external factors or influences that impact the security situation in our area?</w:t>
      </w:r>
    </w:p>
    <w:p>
      <w:pPr>
        <w:pStyle w:val="ListParagraph"/>
        <w:numPr>
          <w:ilvl w:val="0"/>
          <w:numId w:val="1"/>
        </w:numPr>
        <w:spacing w:after="120"/>
      </w:pPr>
      <w:r>
        <w:rPr>
          <w:rFonts w:ascii="Calibri" w:cs="Calibri" w:eastAsia="Calibri" w:hAnsi="Calibri"/>
          <w:sz w:val="23"/>
          <w:szCs w:val="23"/>
        </w:rPr>
        <w:t xml:space="preserve">How do you think these external factors interact with internal issues to contribute to insecurity?</w:t>
      </w:r>
    </w:p>
    <w:p>
      <w:pPr>
        <w:pStyle w:val="Heading3"/>
        <w:spacing w:after="120" w:before="220"/>
      </w:pPr>
      <w:r>
        <w:rPr>
          <w:rFonts w:ascii="Calibri" w:cs="Calibri" w:eastAsia="Calibri" w:hAnsi="Calibri"/>
          <w:b/>
          <w:bCs/>
          <w:color w:val="333333"/>
          <w:sz w:val="24"/>
          <w:szCs w:val="24"/>
        </w:rPr>
        <w:t xml:space="preserve">Section 5: Community Perspectives on Solutions</w:t>
      </w:r>
    </w:p>
    <w:p>
      <w:pPr>
        <w:pStyle w:val="ListParagraph"/>
        <w:numPr>
          <w:ilvl w:val="0"/>
          <w:numId w:val="1"/>
        </w:numPr>
        <w:spacing w:after="120"/>
      </w:pPr>
      <w:r>
        <w:rPr>
          <w:rFonts w:ascii="Calibri" w:cs="Calibri" w:eastAsia="Calibri" w:hAnsi="Calibri"/>
          <w:sz w:val="23"/>
          <w:szCs w:val="23"/>
        </w:rPr>
        <w:t xml:space="preserve">What steps could be taken to address the root causes of insecurity in our region?</w:t>
      </w:r>
    </w:p>
    <w:p>
      <w:pPr>
        <w:pStyle w:val="ListParagraph"/>
        <w:numPr>
          <w:ilvl w:val="0"/>
          <w:numId w:val="1"/>
        </w:numPr>
        <w:spacing w:after="120"/>
      </w:pPr>
      <w:r>
        <w:rPr>
          <w:rFonts w:ascii="Calibri" w:cs="Calibri" w:eastAsia="Calibri" w:hAnsi="Calibri"/>
          <w:sz w:val="23"/>
          <w:szCs w:val="23"/>
        </w:rPr>
        <w:t xml:space="preserve">How can we foster better cooperation and understanding among different segments of the community?</w:t>
      </w:r>
    </w:p>
    <w:p>
      <w:pPr>
        <w:pStyle w:val="ListParagraph"/>
        <w:numPr>
          <w:ilvl w:val="0"/>
          <w:numId w:val="1"/>
        </w:numPr>
        <w:spacing w:after="120"/>
      </w:pPr>
      <w:r>
        <w:rPr>
          <w:rFonts w:ascii="Calibri" w:cs="Calibri" w:eastAsia="Calibri" w:hAnsi="Calibri"/>
          <w:sz w:val="23"/>
          <w:szCs w:val="23"/>
        </w:rPr>
        <w:t xml:space="preserve">What role can local authorities, leaders, and institutions play in promoting security and stability?</w:t>
      </w:r>
    </w:p>
    <w:p>
      <w:pPr>
        <w:pStyle w:val="ListParagraph"/>
        <w:numPr>
          <w:ilvl w:val="0"/>
          <w:numId w:val="1"/>
        </w:numPr>
        <w:spacing w:after="120"/>
      </w:pPr>
      <w:r>
        <w:rPr>
          <w:rFonts w:ascii="Calibri" w:cs="Calibri" w:eastAsia="Calibri" w:hAnsi="Calibri"/>
          <w:sz w:val="23"/>
          <w:szCs w:val="23"/>
        </w:rPr>
        <w:t xml:space="preserve">Are there any successful examples of other regions or communities addressing insecurity that we could learn from?</w:t>
      </w:r>
    </w:p>
    <w:p>
      <w:r>
        <w:br w:type="page"/>
      </w:r>
    </w:p>
    <w:p>
      <w:pPr>
        <w:pStyle w:val="Heading1"/>
        <w:spacing w:after="200" w:before="400"/>
      </w:pPr>
      <w:r>
        <w:rPr>
          <w:rFonts w:ascii="Calibri" w:cs="Calibri" w:eastAsia="Calibri" w:hAnsi="Calibri"/>
          <w:b/>
          <w:bCs/>
          <w:color w:val="1F3A5F"/>
          <w:sz w:val="30"/>
          <w:szCs w:val="30"/>
        </w:rPr>
        <w:t xml:space="preserve">APPENDIX II: INTERVIEW GUIDE</w:t>
      </w:r>
    </w:p>
    <w:p>
      <w:pPr>
        <w:spacing w:after="200" w:line="300"/>
        <w:jc w:val="both"/>
      </w:pPr>
      <w:r>
        <w:rPr>
          <w:rFonts w:ascii="Calibri" w:cs="Calibri" w:eastAsia="Calibri" w:hAnsi="Calibri"/>
          <w:sz w:val="23"/>
          <w:szCs w:val="23"/>
        </w:rPr>
        <w:t xml:space="preserve">Introduction: The interviewer explains the purpose of the study, assures confidentiality and anonymity, and invites questions before beginning.</w:t>
      </w:r>
    </w:p>
    <w:p>
      <w:pPr>
        <w:pStyle w:val="Heading3"/>
        <w:spacing w:after="120" w:before="220"/>
      </w:pPr>
      <w:r>
        <w:rPr>
          <w:rFonts w:ascii="Calibri" w:cs="Calibri" w:eastAsia="Calibri" w:hAnsi="Calibri"/>
          <w:b/>
          <w:bCs/>
          <w:color w:val="333333"/>
          <w:sz w:val="24"/>
          <w:szCs w:val="24"/>
        </w:rPr>
        <w:t xml:space="preserve">Section 1: Background and Demographics</w:t>
      </w:r>
    </w:p>
    <w:p>
      <w:pPr>
        <w:pStyle w:val="ListParagraph"/>
        <w:numPr>
          <w:ilvl w:val="0"/>
          <w:numId w:val="1"/>
        </w:numPr>
        <w:spacing w:after="120"/>
      </w:pPr>
      <w:r>
        <w:rPr>
          <w:rFonts w:ascii="Calibri" w:cs="Calibri" w:eastAsia="Calibri" w:hAnsi="Calibri"/>
          <w:sz w:val="23"/>
          <w:szCs w:val="23"/>
        </w:rPr>
        <w:t xml:space="preserve">General information: age, occupation, and length of residence/work in Garissa County.</w:t>
      </w:r>
    </w:p>
    <w:p>
      <w:pPr>
        <w:pStyle w:val="Heading3"/>
        <w:spacing w:after="120" w:before="220"/>
      </w:pPr>
      <w:r>
        <w:rPr>
          <w:rFonts w:ascii="Calibri" w:cs="Calibri" w:eastAsia="Calibri" w:hAnsi="Calibri"/>
          <w:b/>
          <w:bCs/>
          <w:color w:val="333333"/>
          <w:sz w:val="24"/>
          <w:szCs w:val="24"/>
        </w:rPr>
        <w:t xml:space="preserve">Section 2: Perception of Insecurity in Garissa County</w:t>
      </w:r>
    </w:p>
    <w:p>
      <w:pPr>
        <w:pStyle w:val="ListParagraph"/>
        <w:numPr>
          <w:ilvl w:val="0"/>
          <w:numId w:val="1"/>
        </w:numPr>
        <w:spacing w:after="120"/>
      </w:pPr>
      <w:r>
        <w:rPr>
          <w:rFonts w:ascii="Calibri" w:cs="Calibri" w:eastAsia="Calibri" w:hAnsi="Calibri"/>
          <w:sz w:val="23"/>
          <w:szCs w:val="23"/>
        </w:rPr>
        <w:t xml:space="preserve">How would you describe the current state of security in Garissa County?</w:t>
      </w:r>
    </w:p>
    <w:p>
      <w:pPr>
        <w:pStyle w:val="ListParagraph"/>
        <w:numPr>
          <w:ilvl w:val="0"/>
          <w:numId w:val="1"/>
        </w:numPr>
        <w:spacing w:after="120"/>
      </w:pPr>
      <w:r>
        <w:rPr>
          <w:rFonts w:ascii="Calibri" w:cs="Calibri" w:eastAsia="Calibri" w:hAnsi="Calibri"/>
          <w:sz w:val="23"/>
          <w:szCs w:val="23"/>
        </w:rPr>
        <w:t xml:space="preserve">What are the major types of insecurity incidents experienced in the county?</w:t>
      </w:r>
    </w:p>
    <w:p>
      <w:pPr>
        <w:pStyle w:val="ListParagraph"/>
        <w:numPr>
          <w:ilvl w:val="0"/>
          <w:numId w:val="1"/>
        </w:numPr>
        <w:spacing w:after="120"/>
      </w:pPr>
      <w:r>
        <w:rPr>
          <w:rFonts w:ascii="Calibri" w:cs="Calibri" w:eastAsia="Calibri" w:hAnsi="Calibri"/>
          <w:sz w:val="23"/>
          <w:szCs w:val="23"/>
        </w:rPr>
        <w:t xml:space="preserve">How do these incidents impact daily life and livelihoods?</w:t>
      </w:r>
    </w:p>
    <w:p>
      <w:pPr>
        <w:pStyle w:val="Heading3"/>
        <w:spacing w:after="120" w:before="220"/>
      </w:pPr>
      <w:r>
        <w:rPr>
          <w:rFonts w:ascii="Calibri" w:cs="Calibri" w:eastAsia="Calibri" w:hAnsi="Calibri"/>
          <w:b/>
          <w:bCs/>
          <w:color w:val="333333"/>
          <w:sz w:val="24"/>
          <w:szCs w:val="24"/>
        </w:rPr>
        <w:t xml:space="preserve">Section 3: Root Causes of Insecurity</w:t>
      </w:r>
    </w:p>
    <w:p>
      <w:pPr>
        <w:pStyle w:val="ListParagraph"/>
        <w:numPr>
          <w:ilvl w:val="0"/>
          <w:numId w:val="1"/>
        </w:numPr>
        <w:spacing w:after="120"/>
      </w:pPr>
      <w:r>
        <w:rPr>
          <w:rFonts w:ascii="Calibri" w:cs="Calibri" w:eastAsia="Calibri" w:hAnsi="Calibri"/>
          <w:sz w:val="23"/>
          <w:szCs w:val="23"/>
        </w:rPr>
        <w:t xml:space="preserve">What are the underlying factors contributing to insecurity in Garissa County?</w:t>
      </w:r>
    </w:p>
    <w:p>
      <w:pPr>
        <w:pStyle w:val="ListParagraph"/>
        <w:numPr>
          <w:ilvl w:val="0"/>
          <w:numId w:val="1"/>
        </w:numPr>
        <w:spacing w:after="120"/>
      </w:pPr>
      <w:r>
        <w:rPr>
          <w:rFonts w:ascii="Calibri" w:cs="Calibri" w:eastAsia="Calibri" w:hAnsi="Calibri"/>
          <w:sz w:val="23"/>
          <w:szCs w:val="23"/>
        </w:rPr>
        <w:t xml:space="preserve">How do historical events and ethnic/tribal tensions play a role?</w:t>
      </w:r>
    </w:p>
    <w:p>
      <w:pPr>
        <w:pStyle w:val="ListParagraph"/>
        <w:numPr>
          <w:ilvl w:val="0"/>
          <w:numId w:val="1"/>
        </w:numPr>
        <w:spacing w:after="120"/>
      </w:pPr>
      <w:r>
        <w:rPr>
          <w:rFonts w:ascii="Calibri" w:cs="Calibri" w:eastAsia="Calibri" w:hAnsi="Calibri"/>
          <w:sz w:val="23"/>
          <w:szCs w:val="23"/>
        </w:rPr>
        <w:t xml:space="preserve">Are there economic or social factors that contribute significantly to insecurity?</w:t>
      </w:r>
    </w:p>
    <w:p>
      <w:pPr>
        <w:pStyle w:val="Heading3"/>
        <w:spacing w:after="120" w:before="220"/>
      </w:pPr>
      <w:r>
        <w:rPr>
          <w:rFonts w:ascii="Calibri" w:cs="Calibri" w:eastAsia="Calibri" w:hAnsi="Calibri"/>
          <w:b/>
          <w:bCs/>
          <w:color w:val="333333"/>
          <w:sz w:val="24"/>
          <w:szCs w:val="24"/>
        </w:rPr>
        <w:t xml:space="preserve">Section 4: Impact of Terrorism and Extremism</w:t>
      </w:r>
    </w:p>
    <w:p>
      <w:pPr>
        <w:pStyle w:val="ListParagraph"/>
        <w:numPr>
          <w:ilvl w:val="0"/>
          <w:numId w:val="1"/>
        </w:numPr>
        <w:spacing w:after="120"/>
      </w:pPr>
      <w:r>
        <w:rPr>
          <w:rFonts w:ascii="Calibri" w:cs="Calibri" w:eastAsia="Calibri" w:hAnsi="Calibri"/>
          <w:sz w:val="23"/>
          <w:szCs w:val="23"/>
        </w:rPr>
        <w:t xml:space="preserve">How has terrorism influenced the overall security climate in the region?</w:t>
      </w:r>
    </w:p>
    <w:p>
      <w:pPr>
        <w:pStyle w:val="ListParagraph"/>
        <w:numPr>
          <w:ilvl w:val="0"/>
          <w:numId w:val="1"/>
        </w:numPr>
        <w:spacing w:after="120"/>
      </w:pPr>
      <w:r>
        <w:rPr>
          <w:rFonts w:ascii="Calibri" w:cs="Calibri" w:eastAsia="Calibri" w:hAnsi="Calibri"/>
          <w:sz w:val="23"/>
          <w:szCs w:val="23"/>
        </w:rPr>
        <w:t xml:space="preserve">What motivates young people to join extremist groups or participate in acts of terrorism?</w:t>
      </w:r>
    </w:p>
    <w:p>
      <w:pPr>
        <w:pStyle w:val="ListParagraph"/>
        <w:numPr>
          <w:ilvl w:val="0"/>
          <w:numId w:val="1"/>
        </w:numPr>
        <w:spacing w:after="120"/>
      </w:pPr>
      <w:r>
        <w:rPr>
          <w:rFonts w:ascii="Calibri" w:cs="Calibri" w:eastAsia="Calibri" w:hAnsi="Calibri"/>
          <w:sz w:val="23"/>
          <w:szCs w:val="23"/>
        </w:rPr>
        <w:t xml:space="preserve">How can the influence of extremist ideologies be mitigated?</w:t>
      </w:r>
    </w:p>
    <w:p>
      <w:pPr>
        <w:pStyle w:val="Heading3"/>
        <w:spacing w:after="120" w:before="220"/>
      </w:pPr>
      <w:r>
        <w:rPr>
          <w:rFonts w:ascii="Calibri" w:cs="Calibri" w:eastAsia="Calibri" w:hAnsi="Calibri"/>
          <w:b/>
          <w:bCs/>
          <w:color w:val="333333"/>
          <w:sz w:val="24"/>
          <w:szCs w:val="24"/>
        </w:rPr>
        <w:t xml:space="preserve">Section 5: Role of Law Enforcement and Security Forces</w:t>
      </w:r>
    </w:p>
    <w:p>
      <w:pPr>
        <w:pStyle w:val="ListParagraph"/>
        <w:numPr>
          <w:ilvl w:val="0"/>
          <w:numId w:val="1"/>
        </w:numPr>
        <w:spacing w:after="120"/>
      </w:pPr>
      <w:r>
        <w:rPr>
          <w:rFonts w:ascii="Calibri" w:cs="Calibri" w:eastAsia="Calibri" w:hAnsi="Calibri"/>
          <w:sz w:val="23"/>
          <w:szCs w:val="23"/>
        </w:rPr>
        <w:t xml:space="preserve">How effective are law enforcement and security forces in addressing insecurity?</w:t>
      </w:r>
    </w:p>
    <w:p>
      <w:pPr>
        <w:pStyle w:val="ListParagraph"/>
        <w:numPr>
          <w:ilvl w:val="0"/>
          <w:numId w:val="1"/>
        </w:numPr>
        <w:spacing w:after="120"/>
      </w:pPr>
      <w:r>
        <w:rPr>
          <w:rFonts w:ascii="Calibri" w:cs="Calibri" w:eastAsia="Calibri" w:hAnsi="Calibri"/>
          <w:sz w:val="23"/>
          <w:szCs w:val="23"/>
        </w:rPr>
        <w:t xml:space="preserve">What challenges do these forces face in maintaining security?</w:t>
      </w:r>
    </w:p>
    <w:p>
      <w:pPr>
        <w:pStyle w:val="ListParagraph"/>
        <w:numPr>
          <w:ilvl w:val="0"/>
          <w:numId w:val="1"/>
        </w:numPr>
        <w:spacing w:after="120"/>
      </w:pPr>
      <w:r>
        <w:rPr>
          <w:rFonts w:ascii="Calibri" w:cs="Calibri" w:eastAsia="Calibri" w:hAnsi="Calibri"/>
          <w:sz w:val="23"/>
          <w:szCs w:val="23"/>
        </w:rPr>
        <w:t xml:space="preserve">What improvements would you like to see in the security-force approach?</w:t>
      </w:r>
    </w:p>
    <w:p>
      <w:pPr>
        <w:pStyle w:val="Heading3"/>
        <w:spacing w:after="120" w:before="220"/>
      </w:pPr>
      <w:r>
        <w:rPr>
          <w:rFonts w:ascii="Calibri" w:cs="Calibri" w:eastAsia="Calibri" w:hAnsi="Calibri"/>
          <w:b/>
          <w:bCs/>
          <w:color w:val="333333"/>
          <w:sz w:val="24"/>
          <w:szCs w:val="24"/>
        </w:rPr>
        <w:t xml:space="preserve">Section 6: Community Resilience and Solutions</w:t>
      </w:r>
    </w:p>
    <w:p>
      <w:pPr>
        <w:pStyle w:val="ListParagraph"/>
        <w:numPr>
          <w:ilvl w:val="0"/>
          <w:numId w:val="1"/>
        </w:numPr>
        <w:spacing w:after="120"/>
      </w:pPr>
      <w:r>
        <w:rPr>
          <w:rFonts w:ascii="Calibri" w:cs="Calibri" w:eastAsia="Calibri" w:hAnsi="Calibri"/>
          <w:sz w:val="23"/>
          <w:szCs w:val="23"/>
        </w:rPr>
        <w:t xml:space="preserve">How do communities cope with insecurity, and what has been done to build resilience?</w:t>
      </w:r>
    </w:p>
    <w:p>
      <w:pPr>
        <w:pStyle w:val="ListParagraph"/>
        <w:numPr>
          <w:ilvl w:val="0"/>
          <w:numId w:val="1"/>
        </w:numPr>
        <w:spacing w:after="120"/>
      </w:pPr>
      <w:r>
        <w:rPr>
          <w:rFonts w:ascii="Calibri" w:cs="Calibri" w:eastAsia="Calibri" w:hAnsi="Calibri"/>
          <w:sz w:val="23"/>
          <w:szCs w:val="23"/>
        </w:rPr>
        <w:t xml:space="preserve">What initiatives or strategies could improve security in the county?</w:t>
      </w:r>
    </w:p>
    <w:p>
      <w:pPr>
        <w:pStyle w:val="ListParagraph"/>
        <w:numPr>
          <w:ilvl w:val="0"/>
          <w:numId w:val="1"/>
        </w:numPr>
        <w:spacing w:after="120"/>
      </w:pPr>
      <w:r>
        <w:rPr>
          <w:rFonts w:ascii="Calibri" w:cs="Calibri" w:eastAsia="Calibri" w:hAnsi="Calibri"/>
          <w:sz w:val="23"/>
          <w:szCs w:val="23"/>
        </w:rPr>
        <w:t xml:space="preserve">What role can local leaders, organizations, and government play?</w:t>
      </w:r>
    </w:p>
    <w:p>
      <w:pPr>
        <w:pStyle w:val="Heading3"/>
        <w:spacing w:after="120" w:before="220"/>
      </w:pPr>
      <w:r>
        <w:rPr>
          <w:rFonts w:ascii="Calibri" w:cs="Calibri" w:eastAsia="Calibri" w:hAnsi="Calibri"/>
          <w:b/>
          <w:bCs/>
          <w:color w:val="333333"/>
          <w:sz w:val="24"/>
          <w:szCs w:val="24"/>
        </w:rPr>
        <w:t xml:space="preserve">Section 7: External Influences and Regional Dynamics</w:t>
      </w:r>
    </w:p>
    <w:p>
      <w:pPr>
        <w:pStyle w:val="ListParagraph"/>
        <w:numPr>
          <w:ilvl w:val="0"/>
          <w:numId w:val="1"/>
        </w:numPr>
        <w:spacing w:after="120"/>
      </w:pPr>
      <w:r>
        <w:rPr>
          <w:rFonts w:ascii="Calibri" w:cs="Calibri" w:eastAsia="Calibri" w:hAnsi="Calibri"/>
          <w:sz w:val="23"/>
          <w:szCs w:val="23"/>
        </w:rPr>
        <w:t xml:space="preserve">Do external factors or neighbouring regions impact security in Garissa County? How?</w:t>
      </w:r>
    </w:p>
    <w:p>
      <w:pPr>
        <w:pStyle w:val="ListParagraph"/>
        <w:numPr>
          <w:ilvl w:val="0"/>
          <w:numId w:val="1"/>
        </w:numPr>
        <w:spacing w:after="120"/>
      </w:pPr>
      <w:r>
        <w:rPr>
          <w:rFonts w:ascii="Calibri" w:cs="Calibri" w:eastAsia="Calibri" w:hAnsi="Calibri"/>
          <w:sz w:val="23"/>
          <w:szCs w:val="23"/>
        </w:rPr>
        <w:t xml:space="preserve">Are there cross-border security challenges affecting the county?</w:t>
      </w:r>
    </w:p>
    <w:p>
      <w:r>
        <w:br w:type="page"/>
      </w:r>
    </w:p>
    <w:p>
      <w:pPr>
        <w:pStyle w:val="Heading1"/>
        <w:spacing w:after="200" w:before="400"/>
      </w:pPr>
      <w:r>
        <w:rPr>
          <w:rFonts w:ascii="Calibri" w:cs="Calibri" w:eastAsia="Calibri" w:hAnsi="Calibri"/>
          <w:b/>
          <w:bCs/>
          <w:color w:val="1F3A5F"/>
          <w:sz w:val="30"/>
          <w:szCs w:val="30"/>
        </w:rPr>
        <w:t xml:space="preserve">APPENDIX III: SUPPLEMENTARY QUANTITATIVE ANALYSIS (PORTFOLIO DEMONSTRATION)</w:t>
      </w:r>
    </w:p>
    <w:tbl>
      <w:tblPr>
        <w:tblW w:type="pct" w:w="100%"/>
        <w:tblBorders>
          <w:top w:val="single" w:color="E76F51" w:sz="4"/>
          <w:left w:val="single" w:color="E76F51" w:sz="4"/>
          <w:bottom w:val="single" w:color="E76F51" w:sz="4"/>
          <w:right w:val="single" w:color="E76F51" w:sz="4"/>
          <w:insideH w:val="single" w:color="auto" w:sz="4"/>
          <w:insideV w:val="single" w:color="auto" w:sz="4"/>
        </w:tblBorders>
      </w:tblPr>
      <w:tblGrid>
        <w:gridCol w:w="100"/>
      </w:tblGrid>
      <w:tr>
        <w:tc>
          <w:tcPr>
            <w:shd w:fill="FFF4E5" w:val="clear"/>
            <w:tcMar>
              <w:top w:type="dxa" w:w="150"/>
              <w:left w:type="dxa" w:w="200"/>
              <w:bottom w:type="dxa" w:w="150"/>
              <w:right w:type="dxa" w:w="200"/>
            </w:tcMar>
          </w:tcPr>
          <w:p>
            <w:pPr>
              <w:spacing w:after="100"/>
            </w:pPr>
            <w:r>
              <w:rPr>
                <w:rFonts w:ascii="Calibri" w:cs="Calibri" w:eastAsia="Calibri" w:hAnsi="Calibri"/>
                <w:b/>
                <w:bCs/>
                <w:i w:val="false"/>
                <w:iCs w:val="false"/>
                <w:color w:val="8A2E00"/>
                <w:sz w:val="21"/>
                <w:szCs w:val="21"/>
              </w:rPr>
              <w:t xml:space="preserve">IMPORTANT – READ BEFORE USING THIS APPENDIX</w:t>
            </w:r>
          </w:p>
          <w:p>
            <w:pPr>
              <w:spacing w:after="0"/>
            </w:pPr>
            <w:r>
              <w:rPr>
                <w:rFonts w:ascii="Calibri" w:cs="Calibri" w:eastAsia="Calibri" w:hAnsi="Calibri"/>
                <w:b w:val="false"/>
                <w:bCs w:val="false"/>
                <w:i w:val="false"/>
                <w:iCs w:val="false"/>
                <w:color w:val="5A3E1B"/>
                <w:sz w:val="21"/>
                <w:szCs w:val="21"/>
              </w:rPr>
              <w:t xml:space="preserve">Everything in this appendix, from this point on, is based on a SIMULATED dataset — not the original field data from Garissa County. The original 2023 fieldwork did not retain anonymized respondent-level records, only the aggregated tables reported in Chapter Four. To demonstrate respondent-level analysis techniques (cross-tabulation, chi-square testing, logistic regression) for portfolio purposes, a synthetic dataset of 397 simulated respondents was constructed to match the real, reported marginal distributions from Chapter Four (gender split, age distribution, sub-county distribution). Two additional fields — primary root-cause theme cited, and perceived security trend — were generated from assumed, illustrative patterns and do NOT represent real survey responses. This appendix should be read as a worked technical demonstration, not as additional empirical findings about Garissa County.</w:t>
            </w:r>
          </w:p>
        </w:tc>
      </w:tr>
    </w:tbl>
    <w:p>
      <w:pPr>
        <w:pStyle w:val="Heading2"/>
        <w:spacing w:after="150" w:before="300"/>
      </w:pPr>
      <w:r>
        <w:rPr>
          <w:rFonts w:ascii="Calibri" w:cs="Calibri" w:eastAsia="Calibri" w:hAnsi="Calibri"/>
          <w:b/>
          <w:bCs/>
          <w:color w:val="1F3A5F"/>
          <w:sz w:val="26"/>
          <w:szCs w:val="26"/>
        </w:rPr>
        <w:t xml:space="preserve">A.1 How the Simulated Dataset Was Built</w:t>
      </w:r>
    </w:p>
    <w:p>
      <w:pPr>
        <w:spacing w:after="200" w:line="300"/>
        <w:jc w:val="both"/>
      </w:pPr>
      <w:r>
        <w:rPr>
          <w:rFonts w:ascii="Calibri" w:cs="Calibri" w:eastAsia="Calibri" w:hAnsi="Calibri"/>
          <w:sz w:val="23"/>
          <w:szCs w:val="23"/>
        </w:rPr>
        <w:t xml:space="preserve">Respondent-level gender, age category, and sub-county fields were generated to reproduce exactly the aggregate percentages reported in Tables 4.1–4.4 and Figures 4.1–4.5 of Chapter Four (n = 397). Two further fields were added purely to give the demonstration something to model: a simulated “primary root-cause cited” field, drawn from a plausible distribution across the eight themes discussed in section 4.3.1, and a simulated binary “perceives security as improving” outcome, generated so that it correlates loosely with age and sub-county — solely to give the logistic regression something non-trivial to recover. The dataset (simulated_respondent_data.csv) and the scripts used to build it are provided alongside this document.</w:t>
      </w:r>
    </w:p>
    <w:p>
      <w:pPr>
        <w:pStyle w:val="Heading2"/>
        <w:spacing w:after="150" w:before="300"/>
      </w:pPr>
      <w:r>
        <w:rPr>
          <w:rFonts w:ascii="Calibri" w:cs="Calibri" w:eastAsia="Calibri" w:hAnsi="Calibri"/>
          <w:b/>
          <w:bCs/>
          <w:color w:val="1F3A5F"/>
          <w:sz w:val="26"/>
          <w:szCs w:val="26"/>
        </w:rPr>
        <w:t xml:space="preserve">A.2 Illustrative Thematic Frequency Coding</w:t>
      </w:r>
    </w:p>
    <w:p>
      <w:pPr>
        <w:spacing w:after="200" w:line="300"/>
        <w:jc w:val="both"/>
      </w:pPr>
      <w:r>
        <w:rPr>
          <w:rFonts w:ascii="Calibri" w:cs="Calibri" w:eastAsia="Calibri" w:hAnsi="Calibri"/>
          <w:sz w:val="23"/>
          <w:szCs w:val="23"/>
        </w:rPr>
        <w:t xml:space="preserve">Turning qualitative themes into a frequency table — counting how many respondents' primary concern falls under each theme — is a standard mixed-methods technique for making thematic findings quantitatively comparable. Figure A2 illustrates the technique on the simulated theme field described above.</w:t>
      </w:r>
    </w:p>
    <w:p>
      <w:pPr>
        <w:spacing w:after="60" w:before="200"/>
        <w:jc w:val="center"/>
      </w:pPr>
      <w:r>
        <w:drawing>
          <wp:inline distT="0" distB="0" distL="0" distR="0">
            <wp:extent cx="3810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32410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A2 (SIMULATED DATA): Illustrative Coded Root-Cause Theme Frequencies</w:t>
      </w:r>
    </w:p>
    <w:p>
      <w:pPr>
        <w:pStyle w:val="Heading2"/>
        <w:spacing w:after="150" w:before="300"/>
      </w:pPr>
      <w:r>
        <w:rPr>
          <w:rFonts w:ascii="Calibri" w:cs="Calibri" w:eastAsia="Calibri" w:hAnsi="Calibri"/>
          <w:b/>
          <w:bCs/>
          <w:color w:val="1F3A5F"/>
          <w:sz w:val="26"/>
          <w:szCs w:val="26"/>
        </w:rPr>
        <w:t xml:space="preserve">A.3 Illustrative Logistic Regression</w:t>
      </w:r>
    </w:p>
    <w:p>
      <w:pPr>
        <w:spacing w:after="200" w:line="300"/>
        <w:jc w:val="both"/>
      </w:pPr>
      <w:r>
        <w:rPr>
          <w:rFonts w:ascii="Calibri" w:cs="Calibri" w:eastAsia="Calibri" w:hAnsi="Calibri"/>
          <w:sz w:val="23"/>
          <w:szCs w:val="23"/>
        </w:rPr>
        <w:t xml:space="preserve">To demonstrate a multivariate technique appropriate for a binary outcome, a logistic regression was fitted predicting the simulated “perceives security improving” outcome from age category, sub-county, and gender (scikit-learn LogisticRegression, one-hot encoded categorical predictors, reference categories: age 18–35, sub-county Balambala, gender Female). The fitted model recovers the pattern it was simulated with — Garissa and Lagdera sub-county respondents, relative to the Balambala reference, show higher predicted odds of perceiving security as improving, while Fafi respondents and those in the 51–65 age band show markedly lower odds — which is exactly what one would want to see as a sanity check that the pipeline (encoding, fitting, interpretation) is working correctly before it is ever pointed at real data.</w:t>
      </w:r>
    </w:p>
    <w:p>
      <w:pPr>
        <w:spacing w:after="60" w:before="200"/>
        <w:jc w:val="center"/>
      </w:pPr>
      <w:r>
        <w:drawing>
          <wp:inline distT="0" distB="0" distL="0" distR="0">
            <wp:extent cx="3810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324100"/>
                    </a:xfrm>
                    <a:prstGeom prst="rect">
                      <a:avLst/>
                    </a:prstGeom>
                  </pic:spPr>
                </pic:pic>
              </a:graphicData>
            </a:graphic>
          </wp:inline>
        </w:drawing>
      </w:r>
    </w:p>
    <w:p>
      <w:pPr>
        <w:spacing w:after="300" w:before="100"/>
        <w:jc w:val="center"/>
      </w:pPr>
      <w:r>
        <w:rPr>
          <w:rFonts w:ascii="Calibri" w:cs="Calibri" w:eastAsia="Calibri" w:hAnsi="Calibri"/>
          <w:i/>
          <w:iCs/>
          <w:color w:val="555555"/>
          <w:sz w:val="21"/>
          <w:szCs w:val="21"/>
        </w:rPr>
        <w:t xml:space="preserve">Figure A3 (SIMULATED DATA): Logistic Regression Coefficients (log-odds), Reference Categories: Age 18–35, Sub-County Balambala, Gender Female</w:t>
      </w:r>
    </w:p>
    <w:p>
      <w:pPr>
        <w:spacing w:after="200" w:line="300"/>
        <w:jc w:val="both"/>
      </w:pPr>
      <w:r>
        <w:rPr>
          <w:rFonts w:ascii="Calibri" w:cs="Calibri" w:eastAsia="Calibri" w:hAnsi="Calibri"/>
          <w:sz w:val="23"/>
          <w:szCs w:val="23"/>
        </w:rPr>
        <w:t xml:space="preserve">Read as odds ratios: e.g. a coefficient of about −0.49 for Fafi corresponds to an odds ratio of roughly 0.61, i.e. about 39% lower odds of a Fafi respondent perceiving security as improving relative to an otherwise identical respondent in Balambala — again, a simulated relationship, not a real finding about Fafi sub-county.</w:t>
      </w:r>
    </w:p>
    <w:p>
      <w:pPr>
        <w:pStyle w:val="Heading2"/>
        <w:spacing w:after="150" w:before="300"/>
      </w:pPr>
      <w:r>
        <w:rPr>
          <w:rFonts w:ascii="Calibri" w:cs="Calibri" w:eastAsia="Calibri" w:hAnsi="Calibri"/>
          <w:b/>
          <w:bCs/>
          <w:color w:val="1F3A5F"/>
          <w:sz w:val="26"/>
          <w:szCs w:val="26"/>
        </w:rPr>
        <w:t xml:space="preserve">A.4 What Would Be Needed to Turn This Appendix into Real Findings</w:t>
      </w:r>
    </w:p>
    <w:p>
      <w:pPr>
        <w:pStyle w:val="ListParagraph"/>
        <w:numPr>
          <w:ilvl w:val="0"/>
          <w:numId w:val="1"/>
        </w:numPr>
        <w:spacing w:after="120"/>
      </w:pPr>
      <w:r>
        <w:rPr>
          <w:rFonts w:ascii="Calibri" w:cs="Calibri" w:eastAsia="Calibri" w:hAnsi="Calibri"/>
          <w:sz w:val="23"/>
          <w:szCs w:val="23"/>
        </w:rPr>
        <w:t xml:space="preserve">Respondent-level data collection (e.g. via KoboCollect, ODK, or a structured spreadsheet) with a unique, anonymized respondent ID retained alongside all responses — not just aggregated into summary tables.</w:t>
      </w:r>
    </w:p>
    <w:p>
      <w:pPr>
        <w:pStyle w:val="ListParagraph"/>
        <w:numPr>
          <w:ilvl w:val="0"/>
          <w:numId w:val="1"/>
        </w:numPr>
        <w:spacing w:after="120"/>
      </w:pPr>
      <w:r>
        <w:rPr>
          <w:rFonts w:ascii="Calibri" w:cs="Calibri" w:eastAsia="Calibri" w:hAnsi="Calibri"/>
          <w:sz w:val="23"/>
          <w:szCs w:val="23"/>
        </w:rPr>
        <w:t xml:space="preserve">A structured, closed-ended item capturing perceived security trend or severity, suitable as a regression outcome (the original questionnaire's items on this were not preserved in a form that supports this).</w:t>
      </w:r>
    </w:p>
    <w:p>
      <w:pPr>
        <w:pStyle w:val="ListParagraph"/>
        <w:numPr>
          <w:ilvl w:val="0"/>
          <w:numId w:val="1"/>
        </w:numPr>
        <w:spacing w:after="120"/>
      </w:pPr>
      <w:r>
        <w:rPr>
          <w:rFonts w:ascii="Calibri" w:cs="Calibri" w:eastAsia="Calibri" w:hAnsi="Calibri"/>
          <w:sz w:val="23"/>
          <w:szCs w:val="23"/>
        </w:rPr>
        <w:t xml:space="preserve">A consistent, pre-agreed codebook for classifying open-ended “root cause” responses into themes, ideally with a second coder for inter-rater reliability, before any theme is turned into a frequency count.</w:t>
      </w:r>
    </w:p>
    <w:p>
      <w:pPr>
        <w:pStyle w:val="ListParagraph"/>
        <w:numPr>
          <w:ilvl w:val="0"/>
          <w:numId w:val="1"/>
        </w:numPr>
        <w:spacing w:after="120"/>
      </w:pPr>
      <w:r>
        <w:rPr>
          <w:rFonts w:ascii="Calibri" w:cs="Calibri" w:eastAsia="Calibri" w:hAnsi="Calibri"/>
          <w:sz w:val="23"/>
          <w:szCs w:val="23"/>
        </w:rPr>
        <w:t xml:space="preserve">With that in hand, sections A.2 and A.3 above could be re-run on the real dataset using the identical code, simply pointed at real data — the pipeline itself required no changes to go from simulated to real data.</w:t>
      </w:r>
    </w:p>
    <w:p>
      <w:pPr>
        <w:pStyle w:val="Heading2"/>
        <w:spacing w:after="150" w:before="300"/>
      </w:pPr>
      <w:r>
        <w:rPr>
          <w:rFonts w:ascii="Calibri" w:cs="Calibri" w:eastAsia="Calibri" w:hAnsi="Calibri"/>
          <w:b/>
          <w:bCs/>
          <w:color w:val="1F3A5F"/>
          <w:sz w:val="26"/>
          <w:szCs w:val="26"/>
        </w:rPr>
        <w:t xml:space="preserve">A.5 Data and Code Availability</w:t>
      </w:r>
    </w:p>
    <w:p>
      <w:pPr>
        <w:spacing w:after="200" w:line="300"/>
        <w:jc w:val="both"/>
      </w:pPr>
      <w:r>
        <w:rPr>
          <w:rFonts w:ascii="Calibri" w:cs="Calibri" w:eastAsia="Calibri" w:hAnsi="Calibri"/>
          <w:sz w:val="23"/>
          <w:szCs w:val="23"/>
        </w:rPr>
        <w:t xml:space="preserve">This repository is organized in two layers: Layer A preserves this thesis as originally researched; Layer B is a computational social science extension that rebuilds Chapter Four’s real reported statistics as reproducible code, and adds a small, clearly labeled synthetic-data machine learning pipeline (preprocessing, feature engineering, a Logistic Regression / Decision Tree / Random Forest comparison, cross-validation, and evaluation) that extends the single logistic regression demonstrated above. As with that demonstration, none of Layer B’s model results are evidence about Garissa County — they show that a standard supervised-learning workflow can be built and evaluated correctly, using the simulated dataset described in this appendix. The repository also documents, transparently, every place where this portfolio edition’s reconstructed or simulated figures depart from the original 2023 submission, including the Table 4.4 sub-county count inconsistency noted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Insecurity in Garissa County — Ziebi Kofa Maro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4f6c42779ee0121866be05a4adb92ef6974698.png"/><Relationship Id="rId10" Type="http://schemas.openxmlformats.org/officeDocument/2006/relationships/image" Target="media/f05266090546bd5a5f7190d5a7135353547400d5.png"/><Relationship Id="rId11" Type="http://schemas.openxmlformats.org/officeDocument/2006/relationships/image" Target="media/aa45fe8a24755d3edaf590e6b6a14097dea780ea.png"/><Relationship Id="rId12" Type="http://schemas.openxmlformats.org/officeDocument/2006/relationships/image" Target="media/0608608275209e1d46e754f12329fdce9ef6d92b.png"/><Relationship Id="rId13" Type="http://schemas.openxmlformats.org/officeDocument/2006/relationships/image" Target="media/e9ebe9d61315c2685275964a17296e715e569d41.png"/><Relationship Id="rId14" Type="http://schemas.openxmlformats.org/officeDocument/2006/relationships/image" Target="media/41febf2d5493c0fed1f937a5f0fa9468b3347f62.png"/><Relationship Id="rId15" Type="http://schemas.openxmlformats.org/officeDocument/2006/relationships/image" Target="media/46ec5dc28b014da34ac216b06e9a539d977c136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2026-08-21T09:34:40.783Z</dcterms:created>
  <dcterms:modified xsi:type="dcterms:W3CDTF">2026-08-21T09:34:40.783Z</dcterms:modified>
</cp:coreProperties>
</file>

<file path=docProps/custom.xml><?xml version="1.0" encoding="utf-8"?>
<Properties xmlns="http://schemas.openxmlformats.org/officeDocument/2006/custom-properties" xmlns:vt="http://schemas.openxmlformats.org/officeDocument/2006/docPropsVTypes"/>
</file>