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Business Intelligence Overview Report</w:t>
      </w:r>
    </w:p>
    <w:p>
      <w:pPr>
        <w:spacing w:after="100"/>
        <w:jc w:val="center"/>
      </w:pPr>
      <w:r>
        <w:rPr>
          <w:color w:val="666666"/>
        </w:rPr>
        <w:t xml:space="preserve">AnalystLab Africa Data Analytics Internship — Week 2</w:t>
      </w:r>
    </w:p>
    <w:p>
      <w:pPr>
        <w:spacing w:after="300"/>
        <w:jc w:val="center"/>
      </w:pPr>
      <w:r>
        <w:rPr>
          <w:i/>
          <w:iCs/>
          <w:color w:val="666666"/>
        </w:rPr>
        <w:t xml:space="preserve">Dataset: Sample Superstore (2014–2017 US retail sales)</w:t>
      </w:r>
    </w:p>
    <w:p>
      <w:pPr>
        <w:pBdr>
          <w:bottom w:val="single" w:color="999999" w:sz="6"/>
        </w:pBdr>
        <w:spacing w:after="200" w:before="100"/>
      </w:pPr>
    </w:p>
    <w:p>
      <w:pPr>
        <w:pStyle w:val="Heading1"/>
      </w:pPr>
      <w:r>
        <w:t xml:space="preserve">1. What is Business Intelligence?</w:t>
      </w:r>
    </w:p>
    <w:p>
      <w:pPr>
        <w:spacing w:after="200"/>
      </w:pPr>
      <w:r>
        <w:t xml:space="preserve">Business Intelligence (BI) is the set of processes, technologies, and tools that organisations use to collect, integrate, analyse, and present raw business data as actionable information. Rather than relying on static, backward-looking reports, BI turns transactional data — sales records, customer transactions, inventory movements — into visual, interactive insight that managers can query on demand. A typical BI workflow moves data through four stages: extraction from source systems, transformation and cleaning, modelling into a structured format, and visualisation through dashboards and reports. The goal is not the data itself but the decisions it enables.</w:t>
      </w:r>
    </w:p>
    <w:p>
      <w:pPr>
        <w:pStyle w:val="Heading1"/>
      </w:pPr>
      <w:r>
        <w:t xml:space="preserve">2. Why Organisations Use Dashboards</w:t>
      </w:r>
    </w:p>
    <w:p>
      <w:pPr>
        <w:spacing w:after="100"/>
      </w:pPr>
      <w:r>
        <w:t xml:space="preserve">Dashboards consolidate multiple, often disconnected, data sources into a single visual interface. For a retail business such as the one in this case study, that means sales, profit, discounting, shipping, and regional performance can all be reviewed in one place instead of being scattered across spreadsheets and departmental reports. Dashboards matter because they:</w:t>
      </w:r>
    </w:p>
    <w:p>
      <w:pPr>
        <w:pStyle w:val="ListParagraph"/>
        <w:numPr>
          <w:ilvl w:val="0"/>
          <w:numId w:val="1"/>
        </w:numPr>
        <w:spacing w:after="80"/>
      </w:pPr>
      <w:r>
        <w:t xml:space="preserve">Reduce the time between a business event occurring and a decision-maker becoming aware of it.</w:t>
      </w:r>
    </w:p>
    <w:p>
      <w:pPr>
        <w:pStyle w:val="ListParagraph"/>
        <w:numPr>
          <w:ilvl w:val="0"/>
          <w:numId w:val="1"/>
        </w:numPr>
        <w:spacing w:after="80"/>
      </w:pPr>
      <w:r>
        <w:t xml:space="preserve">Replace opinion-based decision-making with evidence drawn directly from operational data.</w:t>
      </w:r>
    </w:p>
    <w:p>
      <w:pPr>
        <w:pStyle w:val="ListParagraph"/>
        <w:numPr>
          <w:ilvl w:val="0"/>
          <w:numId w:val="1"/>
        </w:numPr>
        <w:spacing w:after="80"/>
      </w:pPr>
      <w:r>
        <w:t xml:space="preserve">Allow non-technical stakeholders to explore data themselves through filters and slicers, without depending on analysts for every question.</w:t>
      </w:r>
    </w:p>
    <w:p>
      <w:pPr>
        <w:pStyle w:val="ListParagraph"/>
        <w:numPr>
          <w:ilvl w:val="0"/>
          <w:numId w:val="1"/>
        </w:numPr>
        <w:spacing w:after="80"/>
      </w:pPr>
      <w:r>
        <w:t xml:space="preserve">Surface exceptions and outliers (e.g. an unprofitable state or product line) that would be invisible in raw transaction logs.</w:t>
      </w:r>
    </w:p>
    <w:p>
      <w:pPr>
        <w:pStyle w:val="ListParagraph"/>
        <w:numPr>
          <w:ilvl w:val="0"/>
          <w:numId w:val="1"/>
        </w:numPr>
        <w:spacing w:after="80"/>
      </w:pPr>
      <w:r>
        <w:t xml:space="preserve">Create a shared, single version of the truth that aligns finance, sales, and operations teams around the same numbers.</w:t>
      </w:r>
    </w:p>
    <w:p>
      <w:pPr>
        <w:pStyle w:val="Heading1"/>
        <w:spacing w:before="200"/>
      </w:pPr>
      <w:r>
        <w:t xml:space="preserve">3. How Dashboards Improve Decision-Making</w:t>
      </w:r>
    </w:p>
    <w:p>
      <w:pPr>
        <w:spacing w:after="200"/>
      </w:pPr>
      <w:r>
        <w:t xml:space="preserve">Dashboards improve decision-making by shortening the analytical cycle from months or weeks down to minutes. Executives can move from a headline KPI (e.g. total profit) down to the specific driver (e.g. a single loss-making sub-category or region) through interactive drill-down, rather than commissioning a fresh analysis each time a question arises. This supports three distinct types of decisions: strategic (where to expand or which categories to invest in), tactical (which regions need corrective discounting policy), and operational (which products to reorder or discontinue). Because the same dashboard is refreshed on a schedule, decisions are also made on current data rather than a dated snapshot, and outcomes can be tracked over time against the same metrics used to make the original decision.</w:t>
      </w:r>
    </w:p>
    <w:p>
      <w:pPr>
        <w:pStyle w:val="Heading1"/>
      </w:pPr>
      <w:r>
        <w:t xml:space="preserve">4. Business Objective of the Selected Dataset</w:t>
      </w:r>
    </w:p>
    <w:p>
      <w:pPr>
        <w:spacing w:after="200"/>
      </w:pPr>
      <w:r>
        <w:t xml:space="preserve">This project uses the Sample Superstore dataset, a transaction-level record of 9,994 order lines from a US-based retail company operating across four regions (Central, East, South, West) between 2014 and 2017. Each row captures an order, customer, product, sales value, quantity, discount applied, and resulting profit. The business objective is to build an executive dashboard that allows AnalystLab Africa's retail client to monitor overall sales and profitability, compare performance across regions, segments, and product categories, identify which products or locations are eroding margin through excessive discounting, and use these findings to issue concrete, data-backed recommendations to management. In short, the dataset supports the transition from 'we sold a lot' to 'we know exactly where we make money, where we lose it, and why.'</w:t>
      </w:r>
    </w:p>
    <w:p>
      <w:pPr>
        <w:pStyle w:val="Heading1"/>
      </w:pPr>
      <w:r>
        <w:t xml:space="preserve">5. Headline Findings from Initial Data Review</w:t>
      </w:r>
    </w:p>
    <w:p>
      <w:pPr>
        <w:pStyle w:val="ListParagraph"/>
        <w:numPr>
          <w:ilvl w:val="0"/>
          <w:numId w:val="1"/>
        </w:numPr>
        <w:spacing w:after="80"/>
      </w:pPr>
      <w:r>
        <w:t xml:space="preserve">Total sales of $2,297,200.86 generated total profit of $286,397.02, an overall profit margin of 12.47% across 5,009 unique orders.</w:t>
      </w:r>
    </w:p>
    <w:p>
      <w:pPr>
        <w:pStyle w:val="ListParagraph"/>
        <w:numPr>
          <w:ilvl w:val="0"/>
          <w:numId w:val="1"/>
        </w:numPr>
        <w:spacing w:after="80"/>
      </w:pPr>
      <w:r>
        <w:t xml:space="preserve">The West and East regions are the strongest performers by both sales and margin; the Central region is the weakest, converting sales to profit at less than half the rate of the West.</w:t>
      </w:r>
    </w:p>
    <w:p>
      <w:pPr>
        <w:pStyle w:val="ListParagraph"/>
        <w:numPr>
          <w:ilvl w:val="0"/>
          <w:numId w:val="1"/>
        </w:numPr>
        <w:spacing w:after="80"/>
      </w:pPr>
      <w:r>
        <w:t xml:space="preserve">The Technology category delivers the best margin (17.4%), while Furniture is barely profitable overall (2.5%) — masking sub-categories, such as Tables, that are actively losing money.</w:t>
      </w:r>
    </w:p>
    <w:p>
      <w:pPr>
        <w:pStyle w:val="ListParagraph"/>
        <w:numPr>
          <w:ilvl w:val="0"/>
          <w:numId w:val="1"/>
        </w:numPr>
        <w:spacing w:after="80"/>
      </w:pPr>
      <w:r>
        <w:t xml:space="preserve">Deep discounting (above 20%) is strongly associated with negative profit across the dataset, regardless of category.</w:t>
      </w:r>
    </w:p>
    <w:p>
      <w:pPr>
        <w:spacing w:before="300"/>
      </w:pPr>
      <w:r>
        <w:rPr>
          <w:i/>
          <w:iCs/>
          <w:color w:val="666666"/>
          <w:sz w:val="18"/>
          <w:szCs w:val="18"/>
        </w:rPr>
        <w:t xml:space="preserve">Prepared as part of the AnalystLab Africa Data Analytics Internship Programme, Week 2 Business Analytics Case Study.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2026-08-14T08:05:58.380Z</dcterms:created>
  <dcterms:modified xsi:type="dcterms:W3CDTF">2026-08-14T08:05:58.397Z</dcterms:modified>
</cp:coreProperties>
</file>

<file path=docProps/custom.xml><?xml version="1.0" encoding="utf-8"?>
<Properties xmlns="http://schemas.openxmlformats.org/officeDocument/2006/custom-properties" xmlns:vt="http://schemas.openxmlformats.org/officeDocument/2006/docPropsVTypes"/>
</file>