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Executive Summary Report</w:t>
      </w:r>
    </w:p>
    <w:p>
      <w:pPr>
        <w:spacing w:after="300"/>
        <w:jc w:val="center"/>
      </w:pPr>
      <w:r>
        <w:rPr>
          <w:color w:val="666666"/>
        </w:rPr>
        <w:t xml:space="preserve">Superstore Retail Performance — 2014 to 2017 | AnalystLab Africa, Week 2</w:t>
      </w:r>
    </w:p>
    <w:p>
      <w:pPr>
        <w:pStyle w:val="Heading1"/>
      </w:pPr>
      <w:r>
        <w:t xml:space="preserve">Overall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F2F2F2" w:val="clear"/>
            <w:tcMar>
              <w:top w:type="dxa" w:w="100"/>
              <w:left w:type="dxa" w:w="100"/>
              <w:bottom w:type="dxa" w:w="100"/>
              <w:right w:type="dxa" w:w="100"/>
            </w:tcMar>
          </w:tcPr>
          <w:p>
            <w:r>
              <w:rPr>
                <w:color w:val="666666"/>
                <w:sz w:val="16"/>
                <w:szCs w:val="16"/>
              </w:rPr>
              <w:t xml:space="preserve">Total sales</w:t>
            </w:r>
          </w:p>
          <w:p>
            <w:r>
              <w:rPr>
                <w:b/>
                <w:bCs/>
                <w:sz w:val="24"/>
                <w:szCs w:val="24"/>
              </w:rPr>
              <w:t xml:space="preserve">$2,297,200.86</w:t>
            </w:r>
          </w:p>
        </w:tc>
        <w:tc>
          <w:tcPr>
            <w:tcW w:type="dxa" w:w="1872"/>
            <w:shd w:fill="F2F2F2" w:val="clear"/>
            <w:tcMar>
              <w:top w:type="dxa" w:w="100"/>
              <w:left w:type="dxa" w:w="100"/>
              <w:bottom w:type="dxa" w:w="100"/>
              <w:right w:type="dxa" w:w="100"/>
            </w:tcMar>
          </w:tcPr>
          <w:p>
            <w:r>
              <w:rPr>
                <w:color w:val="666666"/>
                <w:sz w:val="16"/>
                <w:szCs w:val="16"/>
              </w:rPr>
              <w:t xml:space="preserve">Total profit</w:t>
            </w:r>
          </w:p>
          <w:p>
            <w:r>
              <w:rPr>
                <w:b/>
                <w:bCs/>
                <w:sz w:val="24"/>
                <w:szCs w:val="24"/>
              </w:rPr>
              <w:t xml:space="preserve">$286,397.02</w:t>
            </w:r>
          </w:p>
        </w:tc>
        <w:tc>
          <w:tcPr>
            <w:tcW w:type="dxa" w:w="1872"/>
            <w:shd w:fill="F2F2F2" w:val="clear"/>
            <w:tcMar>
              <w:top w:type="dxa" w:w="100"/>
              <w:left w:type="dxa" w:w="100"/>
              <w:bottom w:type="dxa" w:w="100"/>
              <w:right w:type="dxa" w:w="100"/>
            </w:tcMar>
          </w:tcPr>
          <w:p>
            <w:r>
              <w:rPr>
                <w:color w:val="666666"/>
                <w:sz w:val="16"/>
                <w:szCs w:val="16"/>
              </w:rPr>
              <w:t xml:space="preserve">Total orders</w:t>
            </w:r>
          </w:p>
          <w:p>
            <w:r>
              <w:rPr>
                <w:b/>
                <w:bCs/>
                <w:sz w:val="24"/>
                <w:szCs w:val="24"/>
              </w:rPr>
              <w:t xml:space="preserve">5,009</w:t>
            </w:r>
          </w:p>
        </w:tc>
        <w:tc>
          <w:tcPr>
            <w:tcW w:type="dxa" w:w="1872"/>
            <w:shd w:fill="F2F2F2" w:val="clear"/>
            <w:tcMar>
              <w:top w:type="dxa" w:w="100"/>
              <w:left w:type="dxa" w:w="100"/>
              <w:bottom w:type="dxa" w:w="100"/>
              <w:right w:type="dxa" w:w="100"/>
            </w:tcMar>
          </w:tcPr>
          <w:p>
            <w:r>
              <w:rPr>
                <w:color w:val="666666"/>
                <w:sz w:val="16"/>
                <w:szCs w:val="16"/>
              </w:rPr>
              <w:t xml:space="preserve">Avg. sale line</w:t>
            </w:r>
          </w:p>
          <w:p>
            <w:r>
              <w:rPr>
                <w:b/>
                <w:bCs/>
                <w:sz w:val="24"/>
                <w:szCs w:val="24"/>
              </w:rPr>
              <w:t xml:space="preserve">$229.86</w:t>
            </w:r>
          </w:p>
        </w:tc>
        <w:tc>
          <w:tcPr>
            <w:tcW w:type="dxa" w:w="1872"/>
            <w:shd w:fill="F2F2F2" w:val="clear"/>
            <w:tcMar>
              <w:top w:type="dxa" w:w="100"/>
              <w:left w:type="dxa" w:w="100"/>
              <w:bottom w:type="dxa" w:w="100"/>
              <w:right w:type="dxa" w:w="100"/>
            </w:tcMar>
          </w:tcPr>
          <w:p>
            <w:r>
              <w:rPr>
                <w:color w:val="666666"/>
                <w:sz w:val="16"/>
                <w:szCs w:val="16"/>
              </w:rPr>
              <w:t xml:space="preserve">Profit margin</w:t>
            </w:r>
          </w:p>
          <w:p>
            <w:r>
              <w:rPr>
                <w:b/>
                <w:bCs/>
                <w:sz w:val="24"/>
                <w:szCs w:val="24"/>
              </w:rPr>
              <w:t xml:space="preserve">12.47%</w:t>
            </w:r>
          </w:p>
        </w:tc>
      </w:tr>
    </w:tbl>
    <w:p>
      <w:pPr>
        <w:spacing w:after="200"/>
      </w:pPr>
    </w:p>
    <w:p>
      <w:pPr>
        <w:spacing w:after="200"/>
      </w:pPr>
      <w:r>
        <w:t xml:space="preserve">Sales grew every year across the four-year window, from $484K in 2014 to $733K in 2017 (+51%), and profit grew faster still, from $49.5K to $93.4K (+89%), indicating the business is not just growing but becoming more efficient at converting sales into profit over time.</w:t>
      </w:r>
    </w:p>
    <w:p>
      <w:pPr>
        <w:pStyle w:val="Heading1"/>
      </w:pPr>
      <w:r>
        <w:t xml:space="preserve">Five key business insights</w:t>
      </w:r>
    </w:p>
    <w:p>
      <w:pPr>
        <w:spacing w:after="120"/>
      </w:pPr>
      <w:r>
        <w:rPr>
          <w:b/>
          <w:bCs/>
        </w:rPr>
        <w:t xml:space="preserve">1. </w:t>
      </w:r>
      <w:r>
        <w:t xml:space="preserve">Regional profitability is uneven. The West ($725K sales, 15.0% margin) and East ($679K sales, 13.5% margin) regions drive both the highest sales and the healthiest margins. The Central region generates meaningful sales ($501K) but converts them to profit at only 7.9% — roughly half the West's rate — signalling a cost, pricing, or discounting problem specific to that region.</w:t>
      </w:r>
    </w:p>
    <w:p>
      <w:pPr>
        <w:spacing w:after="120"/>
      </w:pPr>
      <w:r>
        <w:rPr>
          <w:b/>
          <w:bCs/>
        </w:rPr>
        <w:t xml:space="preserve">2. </w:t>
      </w:r>
      <w:r>
        <w:t xml:space="preserve">Technology and Office Supplies are the profit engines; Furniture is a drag. Technology delivers $836K in sales at 17.4% margin and Office Supplies $719K at 17.0% margin. Furniture generates comparable sales ($742K) but only a 2.5% margin overall — and within it, Tables lose $17,725 and Bookcases lose $3,473 outright.</w:t>
      </w:r>
    </w:p>
    <w:p>
      <w:pPr>
        <w:spacing w:after="120"/>
      </w:pPr>
      <w:r>
        <w:rPr>
          <w:b/>
          <w:bCs/>
        </w:rPr>
        <w:t xml:space="preserve">3. </w:t>
      </w:r>
      <w:r>
        <w:t xml:space="preserve">A small number of products account for a disproportionate share of losses. The Cubify CubeX 3D Printer (both head configurations) alone accounts for roughly $12,700 in losses, and the ten least profitable products together lose over $29,000 — almost entirely concentrated in printers, tables, and binding machines.</w:t>
      </w:r>
    </w:p>
    <w:p>
      <w:pPr>
        <w:spacing w:after="120"/>
      </w:pPr>
      <w:r>
        <w:rPr>
          <w:b/>
          <w:bCs/>
        </w:rPr>
        <w:t xml:space="preserve">4. </w:t>
      </w:r>
      <w:r>
        <w:t xml:space="preserve">Deep discounting destroys margin. Order lines with no discount return $321K in profit; lines discounted above 20% collectively lose money — the 60%+ discount band alone erases $70,614 in profit despite generating $57,584 in sales, meaning heavy discounting is, in aggregate, a loss-making activity rather than a growth lever.</w:t>
      </w:r>
    </w:p>
    <w:p>
      <w:pPr>
        <w:spacing w:after="120"/>
      </w:pPr>
      <w:r>
        <w:rPr>
          <w:b/>
          <w:bCs/>
        </w:rPr>
        <w:t xml:space="preserve">5. </w:t>
      </w:r>
      <w:r>
        <w:t xml:space="preserve">Consumer is the largest but not the most efficient segment. Consumer contributes over half of total sales ($1.16M) but converts at only 11.5% margin, the lowest of the three segments — Home Office, though smallest by sales ($430K), is the most efficient at 14.0% margin.</w:t>
      </w:r>
    </w:p>
    <w:p>
      <w:pPr>
        <w:pStyle w:val="Heading1"/>
        <w:spacing w:before="200"/>
      </w:pPr>
      <w:r>
        <w:t xml:space="preserve">Three business risks</w:t>
      </w:r>
    </w:p>
    <w:p>
      <w:pPr>
        <w:spacing w:after="120"/>
      </w:pPr>
      <w:r>
        <w:rPr>
          <w:b/>
          <w:bCs/>
        </w:rPr>
        <w:t xml:space="preserve">1. </w:t>
      </w:r>
      <w:r>
        <w:t xml:space="preserve">Regional loss exposure: Texas (-$25,729), Ohio (-$16,971), and Pennsylvania (-$15,560) are the three largest loss-making states in the dataset, all with substantial sales volume — meaning the company is actively subsidising sales in these markets rather than profiting from them.</w:t>
      </w:r>
    </w:p>
    <w:p>
      <w:pPr>
        <w:spacing w:after="120"/>
      </w:pPr>
      <w:r>
        <w:rPr>
          <w:b/>
          <w:bCs/>
        </w:rPr>
        <w:t xml:space="preserve">2. </w:t>
      </w:r>
      <w:r>
        <w:t xml:space="preserve">Furniture category margin erosion: with Tables and Bookcases both net loss-making and Furniture's overall margin under 3%, continued investment in this category without a pricing or cost review risks dragging down blended company profitability as it scales.</w:t>
      </w:r>
    </w:p>
    <w:p>
      <w:pPr>
        <w:spacing w:after="120"/>
      </w:pPr>
      <w:r>
        <w:rPr>
          <w:b/>
          <w:bCs/>
        </w:rPr>
        <w:t xml:space="preserve">3. </w:t>
      </w:r>
      <w:r>
        <w:t xml:space="preserve">Discount-driven margin leakage is systemic, not isolated: because losses correlate consistently with discount depth across categories and regions, the issue is a policy or authorisation gap (how and when discounts are approved) rather than a one-off pricing mistake.</w:t>
      </w:r>
    </w:p>
    <w:p>
      <w:pPr>
        <w:pStyle w:val="Heading1"/>
        <w:spacing w:before="200"/>
      </w:pPr>
      <w:r>
        <w:t xml:space="preserve">Three business opportunities</w:t>
      </w:r>
    </w:p>
    <w:p>
      <w:pPr>
        <w:spacing w:after="120"/>
      </w:pPr>
      <w:r>
        <w:rPr>
          <w:b/>
          <w:bCs/>
        </w:rPr>
        <w:t xml:space="preserve">1. </w:t>
      </w:r>
      <w:r>
        <w:t xml:space="preserve">Scale what already works: Copiers (37.2% margin), Paper (43.4% margin), and Labels (44.4% margin) are the most efficient sub-categories in the portfolio and are comparatively under-represented in total sales — there is room to grow volume in these lines without sacrificing margin.</w:t>
      </w:r>
    </w:p>
    <w:p>
      <w:pPr>
        <w:spacing w:after="120"/>
      </w:pPr>
      <w:r>
        <w:rPr>
          <w:b/>
          <w:bCs/>
        </w:rPr>
        <w:t xml:space="preserve">2. </w:t>
      </w:r>
      <w:r>
        <w:t xml:space="preserve">Replicate the West region's playbook: the West region's pricing, discounting, and product mix practices generate nearly double Central's margin on comparable sales volume; documenting and transferring those practices to Central and South could lift blended company margin significantly.</w:t>
      </w:r>
    </w:p>
    <w:p>
      <w:pPr>
        <w:spacing w:after="120"/>
      </w:pPr>
      <w:r>
        <w:rPr>
          <w:b/>
          <w:bCs/>
        </w:rPr>
        <w:t xml:space="preserve">3. </w:t>
      </w:r>
      <w:r>
        <w:t xml:space="preserve">Segment-specific offers for Home Office: this segment already converts most efficiently (14.0% margin) despite being the smallest by revenue — targeted acquisition or account-growth campaigns here would add profit at a better rate than growing the Consumer segment further.</w:t>
      </w:r>
    </w:p>
    <w:p>
      <w:pPr>
        <w:pStyle w:val="Heading1"/>
        <w:spacing w:before="200"/>
      </w:pPr>
      <w:r>
        <w:t xml:space="preserve">Five actionable recommendations</w:t>
      </w:r>
    </w:p>
    <w:p>
      <w:pPr>
        <w:spacing w:after="120"/>
      </w:pPr>
      <w:r>
        <w:rPr>
          <w:b/>
          <w:bCs/>
        </w:rPr>
        <w:t xml:space="preserve">1. </w:t>
      </w:r>
      <w:r>
        <w:t xml:space="preserve">Introduce a discount approval ceiling (e.g. no line-level discount above 20% without manager sign-off), directly targeting the discount bands shown to be loss-making in the dashboard's discount-impact view.</w:t>
      </w:r>
    </w:p>
    <w:p>
      <w:pPr>
        <w:spacing w:after="120"/>
      </w:pPr>
      <w:r>
        <w:rPr>
          <w:b/>
          <w:bCs/>
        </w:rPr>
        <w:t xml:space="preserve">2. </w:t>
      </w:r>
      <w:r>
        <w:t xml:space="preserve">Commission a pricing and cost review for Tables and Bookcases specifically, the two sub-categories operating at a net loss; either reprice, renegotiate supplier cost, or rationalise the weakest SKUs (starting with the Cubify CubeX 3D Printer line and the Chromcraft and Bush conference tables identified as the largest individual loss-makers).</w:t>
      </w:r>
    </w:p>
    <w:p>
      <w:pPr>
        <w:spacing w:after="120"/>
      </w:pPr>
      <w:r>
        <w:rPr>
          <w:b/>
          <w:bCs/>
        </w:rPr>
        <w:t xml:space="preserve">3. </w:t>
      </w:r>
      <w:r>
        <w:t xml:space="preserve">Run a regional root-cause review comparing Central's and West's discounting, freight, and product-mix practices, using the West's 14.9% margin as the internal benchmark Central and South should be measured against.</w:t>
      </w:r>
    </w:p>
    <w:p>
      <w:pPr>
        <w:spacing w:after="120"/>
      </w:pPr>
      <w:r>
        <w:rPr>
          <w:b/>
          <w:bCs/>
        </w:rPr>
        <w:t xml:space="preserve">4. </w:t>
      </w:r>
      <w:r>
        <w:t xml:space="preserve">Protect and expand the high-margin core: increase marketing and shelf space allocated to Copiers, Paper, Labels, and Envelopes, all of which post margins above 40% and are currently a small share of total sales.</w:t>
      </w:r>
    </w:p>
    <w:p>
      <w:pPr>
        <w:spacing w:after="120"/>
      </w:pPr>
      <w:r>
        <w:rPr>
          <w:b/>
          <w:bCs/>
        </w:rPr>
        <w:t xml:space="preserve">5. </w:t>
      </w:r>
      <w:r>
        <w:t xml:space="preserve">Launch a targeted Home Office segment campaign, since it already converts at the highest margin (14.0%) of the three segments; growing it disproportionately would improve blended company profitability faster than proportionate growth across all segments.</w:t>
      </w:r>
    </w:p>
    <w:p>
      <w:pPr>
        <w:spacing w:before="300"/>
      </w:pPr>
      <w:r>
        <w:rPr>
          <w:i/>
          <w:iCs/>
          <w:color w:val="666666"/>
          <w:sz w:val="18"/>
          <w:szCs w:val="18"/>
        </w:rPr>
        <w:t xml:space="preserve">All figures in this summary are computed directly from the Sample Superstore dataset (9,994 order lines, Jan 2014–Dec 2017) and should be reproduced in the accompanying Power BI dashboard for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2026-08-14T08:06:56.220Z</dcterms:created>
  <dcterms:modified xsi:type="dcterms:W3CDTF">2026-08-14T08:06:56.221Z</dcterms:modified>
</cp:coreProperties>
</file>

<file path=docProps/custom.xml><?xml version="1.0" encoding="utf-8"?>
<Properties xmlns="http://schemas.openxmlformats.org/officeDocument/2006/custom-properties" xmlns:vt="http://schemas.openxmlformats.org/officeDocument/2006/docPropsVTypes"/>
</file>