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C885" w14:textId="77777777" w:rsidR="00260DCD" w:rsidRDefault="00000000">
      <w:pPr>
        <w:pStyle w:val="Centered"/>
      </w:pPr>
      <w:r>
        <w:rPr>
          <w:b/>
          <w:bCs/>
        </w:rPr>
        <w:t>Policy Memo: Why Limiting Climate Change Matters for Niger</w:t>
      </w:r>
    </w:p>
    <w:tbl>
      <w:tblPr>
        <w:tblStyle w:val="Table"/>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4644"/>
        <w:gridCol w:w="4644"/>
      </w:tblGrid>
      <w:tr w:rsidR="00260DCD" w14:paraId="094A462F" w14:textId="77777777" w:rsidTr="00260DCD">
        <w:trPr>
          <w:cnfStyle w:val="100000000000" w:firstRow="1" w:lastRow="0" w:firstColumn="0" w:lastColumn="0" w:oddVBand="0" w:evenVBand="0" w:oddHBand="0" w:evenHBand="0" w:firstRowFirstColumn="0" w:firstRowLastColumn="0" w:lastRowFirstColumn="0" w:lastRowLastColumn="0"/>
          <w:tblHeader/>
        </w:trPr>
        <w:tc>
          <w:tcPr>
            <w:tcW w:w="4535" w:type="dxa"/>
          </w:tcPr>
          <w:p w14:paraId="288F41A0" w14:textId="77777777" w:rsidR="00260DCD" w:rsidRDefault="00000000">
            <w:pPr>
              <w:pStyle w:val="Compact"/>
              <w:spacing w:before="20" w:after="20" w:line="240" w:lineRule="auto"/>
              <w:jc w:val="left"/>
            </w:pPr>
            <w:r>
              <w:rPr>
                <w:b/>
                <w:bCs/>
                <w:sz w:val="20"/>
              </w:rPr>
              <w:t>To:</w:t>
            </w:r>
            <w:r>
              <w:rPr>
                <w:sz w:val="20"/>
              </w:rPr>
              <w:t xml:space="preserve"> Minister of Environment, Head of Niger’s UNFCCC delegation</w:t>
            </w:r>
          </w:p>
        </w:tc>
        <w:tc>
          <w:tcPr>
            <w:tcW w:w="4535" w:type="dxa"/>
          </w:tcPr>
          <w:p w14:paraId="1AD57084" w14:textId="77777777" w:rsidR="00260DCD" w:rsidRDefault="00000000">
            <w:pPr>
              <w:pStyle w:val="Compact"/>
              <w:spacing w:before="20" w:after="20" w:line="240" w:lineRule="auto"/>
              <w:jc w:val="left"/>
            </w:pPr>
            <w:r>
              <w:rPr>
                <w:b/>
                <w:bCs/>
                <w:sz w:val="20"/>
              </w:rPr>
              <w:t>From:</w:t>
            </w:r>
            <w:r>
              <w:rPr>
                <w:sz w:val="20"/>
              </w:rPr>
              <w:t xml:space="preserve"> KOUAME Koffi Fidèle, Climate Adviser</w:t>
            </w:r>
          </w:p>
        </w:tc>
      </w:tr>
      <w:tr w:rsidR="00260DCD" w14:paraId="03A3DD24" w14:textId="77777777" w:rsidTr="00260DCD">
        <w:tc>
          <w:tcPr>
            <w:tcW w:w="4535" w:type="dxa"/>
          </w:tcPr>
          <w:p w14:paraId="01731E78" w14:textId="77777777" w:rsidR="00260DCD" w:rsidRDefault="00000000">
            <w:pPr>
              <w:pStyle w:val="Compact"/>
              <w:spacing w:before="20" w:after="20" w:line="240" w:lineRule="auto"/>
              <w:jc w:val="left"/>
            </w:pPr>
            <w:r>
              <w:rPr>
                <w:b/>
                <w:bCs/>
                <w:sz w:val="20"/>
              </w:rPr>
              <w:t>Date:</w:t>
            </w:r>
            <w:r>
              <w:rPr>
                <w:sz w:val="20"/>
              </w:rPr>
              <w:t xml:space="preserve"> 14 October 2026</w:t>
            </w:r>
          </w:p>
        </w:tc>
        <w:tc>
          <w:tcPr>
            <w:tcW w:w="4535" w:type="dxa"/>
          </w:tcPr>
          <w:p w14:paraId="38648735" w14:textId="77777777" w:rsidR="00260DCD" w:rsidRDefault="00000000">
            <w:pPr>
              <w:pStyle w:val="Compact"/>
              <w:spacing w:before="20" w:after="20" w:line="240" w:lineRule="auto"/>
              <w:jc w:val="left"/>
            </w:pPr>
            <w:r>
              <w:rPr>
                <w:b/>
                <w:bCs/>
                <w:sz w:val="20"/>
              </w:rPr>
              <w:t>Subject:</w:t>
            </w:r>
            <w:r>
              <w:rPr>
                <w:sz w:val="20"/>
              </w:rPr>
              <w:t xml:space="preserve"> Climate risks for Niger and the case for limiting global warming</w:t>
            </w:r>
          </w:p>
        </w:tc>
      </w:tr>
    </w:tbl>
    <w:p w14:paraId="406767B3" w14:textId="77777777" w:rsidR="00260DCD" w:rsidRDefault="00000000">
      <w:pPr>
        <w:pStyle w:val="Heading1"/>
      </w:pPr>
      <w:bookmarkStart w:id="0" w:name="key-message"/>
      <w:r>
        <w:t>Key message</w:t>
      </w:r>
    </w:p>
    <w:p w14:paraId="5A020BA7" w14:textId="77777777" w:rsidR="00260DCD" w:rsidRDefault="00000000">
      <w:pPr>
        <w:pStyle w:val="FirstParagraph"/>
      </w:pPr>
      <w:r>
        <w:t>Models indicate that dangerous heat in Niger is projected to rise in every scenario, but far less if warming is limited: about 54 days a year by 2050 under Current policies against 45 under Below 2 °C (31 today), a gap that widens to 91 against 42 days by 2100. Extreme rainfall follows the same pattern, whereas severe drought is projected to affect almost all of the country by 2050 in all three scenarios. Niger therefore has a direct interest both in faster global emission cuts and in adaptation finance now.</w:t>
      </w:r>
    </w:p>
    <w:p w14:paraId="1B85E667" w14:textId="77777777" w:rsidR="00260DCD" w:rsidRDefault="00000000">
      <w:pPr>
        <w:pStyle w:val="Heading1"/>
      </w:pPr>
      <w:bookmarkStart w:id="1" w:name="three-priority-impacts"/>
      <w:bookmarkEnd w:id="0"/>
      <w:r>
        <w:t>Three priority impacts</w:t>
      </w:r>
    </w:p>
    <w:tbl>
      <w:tblPr>
        <w:tblStyle w:val="Table"/>
        <w:tblW w:w="5000" w:type="pct"/>
        <w:tblBorders>
          <w:top w:val="single" w:sz="12" w:space="0" w:color="000000"/>
          <w:left w:val="nil"/>
          <w:bottom w:val="single" w:sz="12" w:space="0" w:color="000000"/>
          <w:right w:val="nil"/>
          <w:insideH w:val="nil"/>
          <w:insideV w:val="nil"/>
        </w:tblBorders>
        <w:tblLayout w:type="fixed"/>
        <w:tblLook w:val="0020" w:firstRow="1" w:lastRow="0" w:firstColumn="0" w:lastColumn="0" w:noHBand="0" w:noVBand="0"/>
      </w:tblPr>
      <w:tblGrid>
        <w:gridCol w:w="2460"/>
        <w:gridCol w:w="1138"/>
        <w:gridCol w:w="1138"/>
        <w:gridCol w:w="1138"/>
        <w:gridCol w:w="1138"/>
        <w:gridCol w:w="1138"/>
        <w:gridCol w:w="1138"/>
      </w:tblGrid>
      <w:tr w:rsidR="00260DCD" w14:paraId="2DCCDD7D" w14:textId="77777777" w:rsidTr="00260DCD">
        <w:trPr>
          <w:cnfStyle w:val="100000000000" w:firstRow="1" w:lastRow="0" w:firstColumn="0" w:lastColumn="0" w:oddVBand="0" w:evenVBand="0" w:oddHBand="0" w:evenHBand="0" w:firstRowFirstColumn="0" w:firstRowLastColumn="0" w:lastRowFirstColumn="0" w:lastRowLastColumn="0"/>
          <w:tblHeader/>
        </w:trPr>
        <w:tc>
          <w:tcPr>
            <w:tcW w:w="2268" w:type="dxa"/>
            <w:tcBorders>
              <w:bottom w:val="single" w:sz="6" w:space="0" w:color="000000"/>
            </w:tcBorders>
          </w:tcPr>
          <w:p w14:paraId="7AE4C3FF" w14:textId="77777777" w:rsidR="00260DCD" w:rsidRDefault="00000000">
            <w:pPr>
              <w:pStyle w:val="Compact"/>
              <w:spacing w:before="20" w:after="20" w:line="240" w:lineRule="auto"/>
              <w:jc w:val="left"/>
            </w:pPr>
            <w:r>
              <w:rPr>
                <w:b/>
                <w:bCs/>
                <w:sz w:val="20"/>
              </w:rPr>
              <w:t>Impact (CIE indicator)</w:t>
            </w:r>
          </w:p>
        </w:tc>
        <w:tc>
          <w:tcPr>
            <w:tcW w:w="1049" w:type="dxa"/>
            <w:tcBorders>
              <w:bottom w:val="single" w:sz="6" w:space="0" w:color="000000"/>
            </w:tcBorders>
          </w:tcPr>
          <w:p w14:paraId="354011E3" w14:textId="77777777" w:rsidR="00260DCD" w:rsidRDefault="00000000">
            <w:pPr>
              <w:pStyle w:val="Compact"/>
              <w:spacing w:before="20" w:after="20" w:line="240" w:lineRule="auto"/>
              <w:jc w:val="center"/>
            </w:pPr>
            <w:r>
              <w:rPr>
                <w:b/>
                <w:bCs/>
                <w:sz w:val="20"/>
              </w:rPr>
              <w:t>Today (2020)</w:t>
            </w:r>
          </w:p>
        </w:tc>
        <w:tc>
          <w:tcPr>
            <w:tcW w:w="1049" w:type="dxa"/>
            <w:tcBorders>
              <w:bottom w:val="single" w:sz="6" w:space="0" w:color="000000"/>
            </w:tcBorders>
          </w:tcPr>
          <w:p w14:paraId="75FAFBDE" w14:textId="77777777" w:rsidR="00260DCD" w:rsidRDefault="00000000">
            <w:pPr>
              <w:pStyle w:val="Compact"/>
              <w:spacing w:before="20" w:after="20" w:line="240" w:lineRule="auto"/>
              <w:jc w:val="center"/>
            </w:pPr>
            <w:r>
              <w:rPr>
                <w:b/>
                <w:bCs/>
                <w:sz w:val="20"/>
              </w:rPr>
              <w:t>2050</w:t>
            </w:r>
            <w:r>
              <w:rPr>
                <w:sz w:val="20"/>
              </w:rPr>
              <w:br/>
            </w:r>
            <w:r>
              <w:rPr>
                <w:b/>
                <w:bCs/>
                <w:sz w:val="20"/>
              </w:rPr>
              <w:t>Net Zero 2050</w:t>
            </w:r>
          </w:p>
        </w:tc>
        <w:tc>
          <w:tcPr>
            <w:tcW w:w="1049" w:type="dxa"/>
            <w:tcBorders>
              <w:bottom w:val="single" w:sz="6" w:space="0" w:color="000000"/>
            </w:tcBorders>
          </w:tcPr>
          <w:p w14:paraId="389D5BA6" w14:textId="77777777" w:rsidR="00260DCD" w:rsidRDefault="00000000">
            <w:pPr>
              <w:pStyle w:val="Compact"/>
              <w:spacing w:before="20" w:after="20" w:line="240" w:lineRule="auto"/>
              <w:jc w:val="center"/>
            </w:pPr>
            <w:r>
              <w:rPr>
                <w:b/>
                <w:bCs/>
                <w:sz w:val="20"/>
              </w:rPr>
              <w:t>2050</w:t>
            </w:r>
            <w:r>
              <w:rPr>
                <w:sz w:val="20"/>
              </w:rPr>
              <w:br/>
            </w:r>
            <w:r>
              <w:rPr>
                <w:b/>
                <w:bCs/>
                <w:sz w:val="20"/>
              </w:rPr>
              <w:t>Below 2 °C</w:t>
            </w:r>
          </w:p>
        </w:tc>
        <w:tc>
          <w:tcPr>
            <w:tcW w:w="1049" w:type="dxa"/>
            <w:tcBorders>
              <w:bottom w:val="single" w:sz="6" w:space="0" w:color="000000"/>
            </w:tcBorders>
          </w:tcPr>
          <w:p w14:paraId="07D1CDA5" w14:textId="77777777" w:rsidR="00260DCD" w:rsidRDefault="00000000">
            <w:pPr>
              <w:pStyle w:val="Compact"/>
              <w:spacing w:before="20" w:after="20" w:line="240" w:lineRule="auto"/>
              <w:jc w:val="center"/>
            </w:pPr>
            <w:r>
              <w:rPr>
                <w:b/>
                <w:bCs/>
                <w:sz w:val="20"/>
              </w:rPr>
              <w:t>2050</w:t>
            </w:r>
            <w:r>
              <w:rPr>
                <w:sz w:val="20"/>
              </w:rPr>
              <w:br/>
            </w:r>
            <w:r>
              <w:rPr>
                <w:b/>
                <w:bCs/>
                <w:sz w:val="20"/>
              </w:rPr>
              <w:t>Current policies</w:t>
            </w:r>
          </w:p>
        </w:tc>
        <w:tc>
          <w:tcPr>
            <w:tcW w:w="1049" w:type="dxa"/>
            <w:tcBorders>
              <w:bottom w:val="single" w:sz="6" w:space="0" w:color="000000"/>
            </w:tcBorders>
          </w:tcPr>
          <w:p w14:paraId="16CADA5B" w14:textId="77777777" w:rsidR="00260DCD" w:rsidRDefault="00000000">
            <w:pPr>
              <w:pStyle w:val="Compact"/>
              <w:spacing w:before="20" w:after="20" w:line="240" w:lineRule="auto"/>
              <w:jc w:val="center"/>
            </w:pPr>
            <w:r>
              <w:rPr>
                <w:b/>
                <w:bCs/>
                <w:sz w:val="20"/>
              </w:rPr>
              <w:t>2100</w:t>
            </w:r>
            <w:r>
              <w:rPr>
                <w:sz w:val="20"/>
              </w:rPr>
              <w:br/>
            </w:r>
            <w:r>
              <w:rPr>
                <w:b/>
                <w:bCs/>
                <w:sz w:val="20"/>
              </w:rPr>
              <w:t>Below 2 °C</w:t>
            </w:r>
          </w:p>
        </w:tc>
        <w:tc>
          <w:tcPr>
            <w:tcW w:w="1049" w:type="dxa"/>
            <w:tcBorders>
              <w:bottom w:val="single" w:sz="6" w:space="0" w:color="000000"/>
            </w:tcBorders>
          </w:tcPr>
          <w:p w14:paraId="7F279D5C" w14:textId="77777777" w:rsidR="00260DCD" w:rsidRDefault="00000000">
            <w:pPr>
              <w:pStyle w:val="Compact"/>
              <w:spacing w:before="20" w:after="20" w:line="240" w:lineRule="auto"/>
              <w:jc w:val="center"/>
            </w:pPr>
            <w:r>
              <w:rPr>
                <w:b/>
                <w:bCs/>
                <w:sz w:val="20"/>
              </w:rPr>
              <w:t>2100</w:t>
            </w:r>
            <w:r>
              <w:rPr>
                <w:sz w:val="20"/>
              </w:rPr>
              <w:br/>
            </w:r>
            <w:r>
              <w:rPr>
                <w:b/>
                <w:bCs/>
                <w:sz w:val="20"/>
              </w:rPr>
              <w:t>Current policies</w:t>
            </w:r>
          </w:p>
        </w:tc>
      </w:tr>
      <w:tr w:rsidR="00260DCD" w14:paraId="73D62379" w14:textId="77777777" w:rsidTr="00260DCD">
        <w:tc>
          <w:tcPr>
            <w:tcW w:w="2268" w:type="dxa"/>
          </w:tcPr>
          <w:p w14:paraId="2759E30C" w14:textId="77777777" w:rsidR="00260DCD" w:rsidRDefault="00000000">
            <w:pPr>
              <w:pStyle w:val="Compact"/>
              <w:spacing w:before="20" w:after="20" w:line="240" w:lineRule="auto"/>
              <w:jc w:val="left"/>
            </w:pPr>
            <w:r>
              <w:rPr>
                <w:sz w:val="20"/>
              </w:rPr>
              <w:t>Dangerous heat: days per year with a daily maximum heat index above 40 °C</w:t>
            </w:r>
          </w:p>
        </w:tc>
        <w:tc>
          <w:tcPr>
            <w:tcW w:w="1049" w:type="dxa"/>
          </w:tcPr>
          <w:p w14:paraId="3E6806A5" w14:textId="77777777" w:rsidR="00260DCD" w:rsidRDefault="00000000">
            <w:pPr>
              <w:pStyle w:val="Compact"/>
              <w:spacing w:before="20" w:after="20" w:line="240" w:lineRule="auto"/>
              <w:jc w:val="center"/>
            </w:pPr>
            <w:r>
              <w:rPr>
                <w:sz w:val="20"/>
              </w:rPr>
              <w:t>31</w:t>
            </w:r>
            <w:r>
              <w:rPr>
                <w:sz w:val="20"/>
              </w:rPr>
              <w:br/>
              <w:t>[25 to 38]</w:t>
            </w:r>
          </w:p>
        </w:tc>
        <w:tc>
          <w:tcPr>
            <w:tcW w:w="1049" w:type="dxa"/>
          </w:tcPr>
          <w:p w14:paraId="37D3C621" w14:textId="77777777" w:rsidR="00260DCD" w:rsidRDefault="00000000">
            <w:pPr>
              <w:pStyle w:val="Compact"/>
              <w:spacing w:before="20" w:after="20" w:line="240" w:lineRule="auto"/>
              <w:jc w:val="center"/>
            </w:pPr>
            <w:r>
              <w:rPr>
                <w:sz w:val="20"/>
              </w:rPr>
              <w:t>41</w:t>
            </w:r>
            <w:r>
              <w:rPr>
                <w:sz w:val="20"/>
              </w:rPr>
              <w:br/>
              <w:t>[29 to 60]</w:t>
            </w:r>
          </w:p>
        </w:tc>
        <w:tc>
          <w:tcPr>
            <w:tcW w:w="1049" w:type="dxa"/>
          </w:tcPr>
          <w:p w14:paraId="52649FD4" w14:textId="77777777" w:rsidR="00260DCD" w:rsidRDefault="00000000">
            <w:pPr>
              <w:pStyle w:val="Compact"/>
              <w:spacing w:before="20" w:after="20" w:line="240" w:lineRule="auto"/>
              <w:jc w:val="center"/>
            </w:pPr>
            <w:r>
              <w:rPr>
                <w:sz w:val="20"/>
              </w:rPr>
              <w:t>45</w:t>
            </w:r>
            <w:r>
              <w:rPr>
                <w:sz w:val="20"/>
              </w:rPr>
              <w:br/>
              <w:t>[33 to 69]</w:t>
            </w:r>
          </w:p>
        </w:tc>
        <w:tc>
          <w:tcPr>
            <w:tcW w:w="1049" w:type="dxa"/>
          </w:tcPr>
          <w:p w14:paraId="7954588F" w14:textId="77777777" w:rsidR="00260DCD" w:rsidRDefault="00000000">
            <w:pPr>
              <w:pStyle w:val="Compact"/>
              <w:spacing w:before="20" w:after="20" w:line="240" w:lineRule="auto"/>
              <w:jc w:val="center"/>
            </w:pPr>
            <w:r>
              <w:rPr>
                <w:sz w:val="20"/>
              </w:rPr>
              <w:t>54</w:t>
            </w:r>
            <w:r>
              <w:rPr>
                <w:sz w:val="20"/>
              </w:rPr>
              <w:br/>
              <w:t>[41 to 84]</w:t>
            </w:r>
          </w:p>
        </w:tc>
        <w:tc>
          <w:tcPr>
            <w:tcW w:w="1049" w:type="dxa"/>
          </w:tcPr>
          <w:p w14:paraId="33D67045" w14:textId="77777777" w:rsidR="00260DCD" w:rsidRDefault="00000000">
            <w:pPr>
              <w:pStyle w:val="Compact"/>
              <w:spacing w:before="20" w:after="20" w:line="240" w:lineRule="auto"/>
              <w:jc w:val="center"/>
            </w:pPr>
            <w:r>
              <w:rPr>
                <w:sz w:val="20"/>
              </w:rPr>
              <w:t>42</w:t>
            </w:r>
            <w:r>
              <w:rPr>
                <w:sz w:val="20"/>
              </w:rPr>
              <w:br/>
              <w:t>[29 to 72]</w:t>
            </w:r>
          </w:p>
        </w:tc>
        <w:tc>
          <w:tcPr>
            <w:tcW w:w="1049" w:type="dxa"/>
          </w:tcPr>
          <w:p w14:paraId="449DC688" w14:textId="77777777" w:rsidR="00260DCD" w:rsidRDefault="00000000">
            <w:pPr>
              <w:pStyle w:val="Compact"/>
              <w:spacing w:before="20" w:after="20" w:line="240" w:lineRule="auto"/>
              <w:jc w:val="center"/>
            </w:pPr>
            <w:r>
              <w:rPr>
                <w:sz w:val="20"/>
              </w:rPr>
              <w:t>91</w:t>
            </w:r>
            <w:r>
              <w:rPr>
                <w:sz w:val="20"/>
              </w:rPr>
              <w:br/>
              <w:t>[59 to 134]</w:t>
            </w:r>
          </w:p>
        </w:tc>
      </w:tr>
      <w:tr w:rsidR="00260DCD" w14:paraId="503F2B90" w14:textId="77777777" w:rsidTr="00260DCD">
        <w:tc>
          <w:tcPr>
            <w:tcW w:w="2268" w:type="dxa"/>
          </w:tcPr>
          <w:p w14:paraId="791BD183" w14:textId="77777777" w:rsidR="00260DCD" w:rsidRDefault="00000000">
            <w:pPr>
              <w:pStyle w:val="Compact"/>
              <w:spacing w:before="20" w:after="20" w:line="240" w:lineRule="auto"/>
              <w:jc w:val="left"/>
            </w:pPr>
            <w:r>
              <w:rPr>
                <w:sz w:val="20"/>
              </w:rPr>
              <w:t>Severe drought: share of land with at least one month of SPEI below −1.5</w:t>
            </w:r>
          </w:p>
        </w:tc>
        <w:tc>
          <w:tcPr>
            <w:tcW w:w="1049" w:type="dxa"/>
          </w:tcPr>
          <w:p w14:paraId="3B4198D5" w14:textId="77777777" w:rsidR="00260DCD" w:rsidRDefault="00000000">
            <w:pPr>
              <w:pStyle w:val="Compact"/>
              <w:spacing w:before="20" w:after="20" w:line="240" w:lineRule="auto"/>
              <w:jc w:val="center"/>
            </w:pPr>
            <w:r>
              <w:rPr>
                <w:sz w:val="20"/>
              </w:rPr>
              <w:t>84 %</w:t>
            </w:r>
            <w:r>
              <w:rPr>
                <w:sz w:val="20"/>
              </w:rPr>
              <w:br/>
              <w:t>[72 to 97]</w:t>
            </w:r>
          </w:p>
        </w:tc>
        <w:tc>
          <w:tcPr>
            <w:tcW w:w="1049" w:type="dxa"/>
          </w:tcPr>
          <w:p w14:paraId="5E910229" w14:textId="77777777" w:rsidR="00260DCD" w:rsidRDefault="00000000">
            <w:pPr>
              <w:pStyle w:val="Compact"/>
              <w:spacing w:before="20" w:after="20" w:line="240" w:lineRule="auto"/>
              <w:jc w:val="center"/>
            </w:pPr>
            <w:r>
              <w:rPr>
                <w:sz w:val="20"/>
              </w:rPr>
              <w:t>97 %</w:t>
            </w:r>
            <w:r>
              <w:rPr>
                <w:sz w:val="20"/>
              </w:rPr>
              <w:br/>
              <w:t>[82 to 100]</w:t>
            </w:r>
          </w:p>
        </w:tc>
        <w:tc>
          <w:tcPr>
            <w:tcW w:w="1049" w:type="dxa"/>
          </w:tcPr>
          <w:p w14:paraId="7C0CD67A" w14:textId="77777777" w:rsidR="00260DCD" w:rsidRDefault="00000000">
            <w:pPr>
              <w:pStyle w:val="Compact"/>
              <w:spacing w:before="20" w:after="20" w:line="240" w:lineRule="auto"/>
              <w:jc w:val="center"/>
            </w:pPr>
            <w:r>
              <w:rPr>
                <w:sz w:val="20"/>
              </w:rPr>
              <w:t>99 %</w:t>
            </w:r>
            <w:r>
              <w:rPr>
                <w:sz w:val="20"/>
              </w:rPr>
              <w:br/>
              <w:t>[85 to 100]</w:t>
            </w:r>
          </w:p>
        </w:tc>
        <w:tc>
          <w:tcPr>
            <w:tcW w:w="1049" w:type="dxa"/>
          </w:tcPr>
          <w:p w14:paraId="138D02A1" w14:textId="77777777" w:rsidR="00260DCD" w:rsidRDefault="00000000">
            <w:pPr>
              <w:pStyle w:val="Compact"/>
              <w:spacing w:before="20" w:after="20" w:line="240" w:lineRule="auto"/>
              <w:jc w:val="center"/>
            </w:pPr>
            <w:r>
              <w:rPr>
                <w:sz w:val="20"/>
              </w:rPr>
              <w:t>100 %</w:t>
            </w:r>
            <w:r>
              <w:rPr>
                <w:sz w:val="20"/>
              </w:rPr>
              <w:br/>
              <w:t>[96 to 100]</w:t>
            </w:r>
          </w:p>
        </w:tc>
        <w:tc>
          <w:tcPr>
            <w:tcW w:w="1049" w:type="dxa"/>
          </w:tcPr>
          <w:p w14:paraId="23AA9B27" w14:textId="77777777" w:rsidR="00260DCD" w:rsidRDefault="00000000">
            <w:pPr>
              <w:pStyle w:val="Compact"/>
              <w:spacing w:before="20" w:after="20" w:line="240" w:lineRule="auto"/>
              <w:jc w:val="center"/>
            </w:pPr>
            <w:r>
              <w:rPr>
                <w:sz w:val="20"/>
              </w:rPr>
              <w:t>98 %</w:t>
            </w:r>
            <w:r>
              <w:rPr>
                <w:sz w:val="20"/>
              </w:rPr>
              <w:br/>
              <w:t>[81 to 100]</w:t>
            </w:r>
          </w:p>
        </w:tc>
        <w:tc>
          <w:tcPr>
            <w:tcW w:w="1049" w:type="dxa"/>
          </w:tcPr>
          <w:p w14:paraId="630EF7A4" w14:textId="77777777" w:rsidR="00260DCD" w:rsidRDefault="00000000">
            <w:pPr>
              <w:pStyle w:val="Compact"/>
              <w:spacing w:before="20" w:after="20" w:line="240" w:lineRule="auto"/>
              <w:jc w:val="center"/>
            </w:pPr>
            <w:r>
              <w:rPr>
                <w:sz w:val="20"/>
              </w:rPr>
              <w:t>100 %</w:t>
            </w:r>
            <w:r>
              <w:rPr>
                <w:sz w:val="20"/>
              </w:rPr>
              <w:br/>
              <w:t>[98 to 100]</w:t>
            </w:r>
          </w:p>
        </w:tc>
      </w:tr>
      <w:tr w:rsidR="00260DCD" w14:paraId="314E2B3A" w14:textId="77777777" w:rsidTr="00260DCD">
        <w:tc>
          <w:tcPr>
            <w:tcW w:w="2268" w:type="dxa"/>
          </w:tcPr>
          <w:p w14:paraId="22771D1D" w14:textId="77777777" w:rsidR="00260DCD" w:rsidRDefault="00000000">
            <w:pPr>
              <w:pStyle w:val="Compact"/>
              <w:spacing w:before="20" w:after="20" w:line="240" w:lineRule="auto"/>
              <w:jc w:val="left"/>
            </w:pPr>
            <w:r>
              <w:rPr>
                <w:sz w:val="20"/>
              </w:rPr>
              <w:t>Extreme rainfall: annual maximum 5-day rainfall, change from 1995–2014</w:t>
            </w:r>
          </w:p>
        </w:tc>
        <w:tc>
          <w:tcPr>
            <w:tcW w:w="1049" w:type="dxa"/>
          </w:tcPr>
          <w:p w14:paraId="4EA4A74B" w14:textId="77777777" w:rsidR="00260DCD" w:rsidRDefault="00000000">
            <w:pPr>
              <w:pStyle w:val="Compact"/>
              <w:spacing w:before="20" w:after="20" w:line="240" w:lineRule="auto"/>
              <w:jc w:val="center"/>
            </w:pPr>
            <w:r>
              <w:rPr>
                <w:sz w:val="20"/>
              </w:rPr>
              <w:t>+8 %</w:t>
            </w:r>
            <w:r>
              <w:rPr>
                <w:sz w:val="20"/>
              </w:rPr>
              <w:br/>
              <w:t>[−7 to +29]</w:t>
            </w:r>
          </w:p>
        </w:tc>
        <w:tc>
          <w:tcPr>
            <w:tcW w:w="1049" w:type="dxa"/>
          </w:tcPr>
          <w:p w14:paraId="1DB2C635" w14:textId="77777777" w:rsidR="00260DCD" w:rsidRDefault="00000000">
            <w:pPr>
              <w:pStyle w:val="Compact"/>
              <w:spacing w:before="20" w:after="20" w:line="240" w:lineRule="auto"/>
              <w:jc w:val="center"/>
            </w:pPr>
            <w:r>
              <w:rPr>
                <w:sz w:val="20"/>
              </w:rPr>
              <w:t>+16 %</w:t>
            </w:r>
            <w:r>
              <w:rPr>
                <w:sz w:val="20"/>
              </w:rPr>
              <w:br/>
              <w:t>[−1 to +49]</w:t>
            </w:r>
          </w:p>
        </w:tc>
        <w:tc>
          <w:tcPr>
            <w:tcW w:w="1049" w:type="dxa"/>
          </w:tcPr>
          <w:p w14:paraId="6E6AB08C" w14:textId="77777777" w:rsidR="00260DCD" w:rsidRDefault="00000000">
            <w:pPr>
              <w:pStyle w:val="Compact"/>
              <w:spacing w:before="20" w:after="20" w:line="240" w:lineRule="auto"/>
              <w:jc w:val="center"/>
            </w:pPr>
            <w:r>
              <w:rPr>
                <w:sz w:val="20"/>
              </w:rPr>
              <w:t>+18 %</w:t>
            </w:r>
            <w:r>
              <w:rPr>
                <w:sz w:val="20"/>
              </w:rPr>
              <w:br/>
              <w:t>[0 to +55]</w:t>
            </w:r>
          </w:p>
        </w:tc>
        <w:tc>
          <w:tcPr>
            <w:tcW w:w="1049" w:type="dxa"/>
          </w:tcPr>
          <w:p w14:paraId="0E03EE23" w14:textId="77777777" w:rsidR="00260DCD" w:rsidRDefault="00000000">
            <w:pPr>
              <w:pStyle w:val="Compact"/>
              <w:spacing w:before="20" w:after="20" w:line="240" w:lineRule="auto"/>
              <w:jc w:val="center"/>
            </w:pPr>
            <w:r>
              <w:rPr>
                <w:sz w:val="20"/>
              </w:rPr>
              <w:t>+24 %</w:t>
            </w:r>
            <w:r>
              <w:rPr>
                <w:sz w:val="20"/>
              </w:rPr>
              <w:br/>
              <w:t>[−1 to +67]</w:t>
            </w:r>
          </w:p>
        </w:tc>
        <w:tc>
          <w:tcPr>
            <w:tcW w:w="1049" w:type="dxa"/>
          </w:tcPr>
          <w:p w14:paraId="47D3712F" w14:textId="77777777" w:rsidR="00260DCD" w:rsidRDefault="00000000">
            <w:pPr>
              <w:pStyle w:val="Compact"/>
              <w:spacing w:before="20" w:after="20" w:line="240" w:lineRule="auto"/>
              <w:jc w:val="center"/>
            </w:pPr>
            <w:r>
              <w:rPr>
                <w:sz w:val="20"/>
              </w:rPr>
              <w:t>+17 %</w:t>
            </w:r>
            <w:r>
              <w:rPr>
                <w:sz w:val="20"/>
              </w:rPr>
              <w:br/>
              <w:t>[−1 to +54]</w:t>
            </w:r>
          </w:p>
        </w:tc>
        <w:tc>
          <w:tcPr>
            <w:tcW w:w="1049" w:type="dxa"/>
          </w:tcPr>
          <w:p w14:paraId="15A9E1F5" w14:textId="77777777" w:rsidR="00260DCD" w:rsidRDefault="00000000">
            <w:pPr>
              <w:pStyle w:val="Compact"/>
              <w:spacing w:before="20" w:after="20" w:line="240" w:lineRule="auto"/>
              <w:jc w:val="center"/>
            </w:pPr>
            <w:r>
              <w:rPr>
                <w:sz w:val="20"/>
              </w:rPr>
              <w:t>+43 %</w:t>
            </w:r>
            <w:r>
              <w:rPr>
                <w:sz w:val="20"/>
              </w:rPr>
              <w:br/>
              <w:t>[+5 to +110]</w:t>
            </w:r>
          </w:p>
        </w:tc>
      </w:tr>
    </w:tbl>
    <w:p w14:paraId="1EDD24E4" w14:textId="77777777" w:rsidR="00260DCD" w:rsidRDefault="00000000">
      <w:pPr>
        <w:pStyle w:val="BodyText"/>
        <w:spacing w:line="240" w:lineRule="auto"/>
      </w:pPr>
      <w:r>
        <w:rPr>
          <w:i/>
          <w:iCs/>
          <w:sz w:val="20"/>
        </w:rPr>
        <w:t>Table 1. Source: Climate Impact Explorer (</w:t>
      </w:r>
      <w:hyperlink r:id="rId7">
        <w:r>
          <w:rPr>
            <w:rStyle w:val="Hyperlink"/>
            <w:i/>
            <w:iCs/>
            <w:sz w:val="20"/>
          </w:rPr>
          <w:t>Climate Analytics, 2026</w:t>
        </w:r>
      </w:hyperlink>
      <w:r>
        <w:rPr>
          <w:i/>
          <w:iCs/>
          <w:sz w:val="20"/>
        </w:rPr>
        <w:t>), Niger, annual values, area-weighted average. NGFS scenarios, with global warming in 2100 as given in the CIE data: Net Zero 2050 (1.3 °C), Below 2 °C (1.6 °C) and Current policies (2.9 °C). Median of five climate models (18 for extreme rainfall); 5–95 % range in brackets. The tool marks values after 2060 as indicative.</w:t>
      </w:r>
    </w:p>
    <w:p w14:paraId="24DD09FC" w14:textId="77777777" w:rsidR="00260DCD" w:rsidRDefault="00000000">
      <w:pPr>
        <w:pStyle w:val="BodyText"/>
      </w:pPr>
      <w:r>
        <w:rPr>
          <w:b/>
          <w:bCs/>
        </w:rPr>
        <w:t>Dangerous heat.</w:t>
      </w:r>
      <w:r>
        <w:t xml:space="preserve"> The indicator counts days on which the daily maximum heat index exceeds the “danger” threshold of 40 °C (</w:t>
      </w:r>
      <w:hyperlink r:id="rId8">
        <w:r>
          <w:rPr>
            <w:rStyle w:val="Hyperlink"/>
          </w:rPr>
          <w:t>Climate Analytics, 2026</w:t>
        </w:r>
      </w:hyperlink>
      <w:r>
        <w:t>). By 2050, models project about 54 such days a year under Current policies, against 45 under Below 2 °C and 41 under Net Zero 2050; by 2100 the gap widens to 91 against 42 days. This matters because agriculture employs over 80 % of the population (</w:t>
      </w:r>
      <w:hyperlink r:id="rId9">
        <w:r>
          <w:rPr>
            <w:rStyle w:val="Hyperlink"/>
          </w:rPr>
          <w:t>World Bank, 2024</w:t>
        </w:r>
      </w:hyperlink>
      <w:r>
        <w:t>), and farming and herding are outdoor work.</w:t>
      </w:r>
    </w:p>
    <w:p w14:paraId="4ED4C324" w14:textId="77777777" w:rsidR="00260DCD" w:rsidRDefault="00000000">
      <w:pPr>
        <w:pStyle w:val="BodyText"/>
      </w:pPr>
      <w:r>
        <w:rPr>
          <w:b/>
          <w:bCs/>
        </w:rPr>
        <w:t>Severe drought.</w:t>
      </w:r>
      <w:r>
        <w:t xml:space="preserve"> This indicator accounts for evaporation as well as rainfall. About 84 % of the land already experiences at least one month of severe drought a year; models project about 96 % by 2030 and 97 to 100 % by 2050 in all three scenarios, with largely overlapping ranges. On this indicator, limiting warming makes little difference before mid-century, so rain-fed millet, sorghum and pastures are likely to face more frequent water stress whatever the global outcome.</w:t>
      </w:r>
    </w:p>
    <w:p w14:paraId="534F1791" w14:textId="77777777" w:rsidR="00260DCD" w:rsidRDefault="00000000">
      <w:pPr>
        <w:pStyle w:val="BodyText"/>
      </w:pPr>
      <w:r>
        <w:rPr>
          <w:b/>
          <w:bCs/>
        </w:rPr>
        <w:t>Extreme rainfall.</w:t>
      </w:r>
      <w:r>
        <w:t xml:space="preserve"> The heaviest five-day rainfall of the year could intensify by about 24 % by 2050 under Current policies, against 18 % under Below 2 °C; by 2100 the projected change is +43 % against +17 %, although ranges are wide. Heavier downpours would raise flood risk in </w:t>
      </w:r>
      <w:r>
        <w:lastRenderedPageBreak/>
        <w:t>Niamey and the Niger River valley, where people, infrastructure and irrigated rice are concentrated.</w:t>
      </w:r>
    </w:p>
    <w:p w14:paraId="1C47E733" w14:textId="2E59CC05" w:rsidR="00260DCD" w:rsidRDefault="00000000">
      <w:pPr>
        <w:pStyle w:val="CaptionedFigure"/>
      </w:pPr>
      <w:r>
        <w:rPr>
          <w:noProof/>
        </w:rPr>
        <w:drawing>
          <wp:inline distT="0" distB="0" distL="0" distR="0" wp14:anchorId="519B3C4B" wp14:editId="413C079A">
            <wp:extent cx="5289550" cy="200025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_heat.png"/>
                    <pic:cNvPicPr>
                      <a:picLocks noChangeAspect="1" noChangeArrowheads="1"/>
                    </pic:cNvPicPr>
                  </pic:nvPicPr>
                  <pic:blipFill>
                    <a:blip r:embed="rId10"/>
                    <a:stretch>
                      <a:fillRect/>
                    </a:stretch>
                  </pic:blipFill>
                  <pic:spPr bwMode="auto">
                    <a:xfrm>
                      <a:off x="0" y="0"/>
                      <a:ext cx="5289550" cy="2000250"/>
                    </a:xfrm>
                    <a:prstGeom prst="rect">
                      <a:avLst/>
                    </a:prstGeom>
                    <a:noFill/>
                    <a:ln w="9525">
                      <a:noFill/>
                      <a:headEnd/>
                      <a:tailEnd/>
                    </a:ln>
                  </pic:spPr>
                </pic:pic>
              </a:graphicData>
            </a:graphic>
          </wp:inline>
        </w:drawing>
      </w:r>
      <w:r w:rsidR="00D76EF6" w:rsidRPr="00B56D56">
        <w:rPr>
          <w:noProof/>
        </w:rPr>
        <w:drawing>
          <wp:inline distT="0" distB="0" distL="0" distR="0" wp14:anchorId="45F4A8B1" wp14:editId="13A2107F">
            <wp:extent cx="4984750" cy="1422400"/>
            <wp:effectExtent l="0" t="0" r="0" b="0"/>
            <wp:docPr id="1821697881" name="Picture"/>
            <wp:cNvGraphicFramePr/>
            <a:graphic xmlns:a="http://schemas.openxmlformats.org/drawingml/2006/main">
              <a:graphicData uri="http://schemas.openxmlformats.org/drawingml/2006/picture">
                <pic:pic xmlns:pic="http://schemas.openxmlformats.org/drawingml/2006/picture">
                  <pic:nvPicPr>
                    <pic:cNvPr id="25" name="Picture" descr="cie_figure_clean.png"/>
                    <pic:cNvPicPr>
                      <a:picLocks noChangeAspect="1" noChangeArrowheads="1"/>
                    </pic:cNvPicPr>
                  </pic:nvPicPr>
                  <pic:blipFill>
                    <a:blip r:embed="rId11"/>
                    <a:stretch>
                      <a:fillRect/>
                    </a:stretch>
                  </pic:blipFill>
                  <pic:spPr bwMode="auto">
                    <a:xfrm>
                      <a:off x="0" y="0"/>
                      <a:ext cx="4984750" cy="1422400"/>
                    </a:xfrm>
                    <a:prstGeom prst="rect">
                      <a:avLst/>
                    </a:prstGeom>
                    <a:noFill/>
                    <a:ln w="9525">
                      <a:noFill/>
                      <a:headEnd/>
                      <a:tailEnd/>
                    </a:ln>
                  </pic:spPr>
                </pic:pic>
              </a:graphicData>
            </a:graphic>
          </wp:inline>
        </w:drawing>
      </w:r>
    </w:p>
    <w:p w14:paraId="0D7D5AFC" w14:textId="77777777" w:rsidR="00260DCD" w:rsidRDefault="00000000">
      <w:pPr>
        <w:pStyle w:val="ImageCaption"/>
        <w:spacing w:line="240" w:lineRule="auto"/>
        <w:jc w:val="both"/>
      </w:pPr>
      <w:r>
        <w:rPr>
          <w:b/>
          <w:bCs/>
        </w:rPr>
        <w:t>Figure 1. Days of dangerous heat per year in Niger under Below 2 °C and Current policies.</w:t>
      </w:r>
      <w:r>
        <w:t xml:space="preserve"> The curves separate after 2030; the gap is what limiting warming avoids. Open circles mark the years in which global warming reaches +1.5 °C (about 2030), +2.0 °C (2049) and +2.5 °C (2074) under Current policies. Bands: 5–95 % model range; dashed lines: indicative results after 2060. Chart drawn from Climate Impact Explorer data (</w:t>
      </w:r>
      <w:hyperlink r:id="rId12">
        <w:r>
          <w:rPr>
            <w:rStyle w:val="Hyperlink"/>
          </w:rPr>
          <w:t>Climate Analytics, 2026</w:t>
        </w:r>
      </w:hyperlink>
      <w:r>
        <w:t>).</w:t>
      </w:r>
    </w:p>
    <w:p w14:paraId="1D1825A7" w14:textId="77777777" w:rsidR="00260DCD" w:rsidRDefault="00000000">
      <w:pPr>
        <w:pStyle w:val="Heading1"/>
      </w:pPr>
      <w:bookmarkStart w:id="2" w:name="Xfea160e7a0acdde38fb92e35e7c057650e1debf"/>
      <w:bookmarkEnd w:id="1"/>
      <w:r>
        <w:t>Implications for Niger’s national interest</w:t>
      </w:r>
    </w:p>
    <w:p w14:paraId="426942AC" w14:textId="77777777" w:rsidR="00260DCD" w:rsidRDefault="00000000">
      <w:pPr>
        <w:pStyle w:val="FirstParagraph"/>
      </w:pPr>
      <w:r>
        <w:t>Compared with Current policies, Below 2 °C would avoid about 9 days of dangerous heat a year by 2050 and about 49 by 2100, and would limit the intensification of extreme rainfall to +17 % instead of +43 % by 2100. Of the three indicators, heat separates the scenarios most clearly: by 2100, even the low end of the Current policies range (59 days) lies above the central Below 2 °C value (42 days), whereas the rainfall ranges overlap. The World Bank estimates that climate change could reduce Niger’s annual GDP by 2.2 % in wetter scenarios and by 11.9 % in drier ones by 2050. It links extreme weather to low agricultural production, high food prices and food insecurity, and notes growing competition between farmers and pastoralists for scarce resources (</w:t>
      </w:r>
      <w:hyperlink r:id="rId13">
        <w:r>
          <w:rPr>
            <w:rStyle w:val="Hyperlink"/>
          </w:rPr>
          <w:t>World Bank, 2022</w:t>
        </w:r>
      </w:hyperlink>
      <w:r>
        <w:t>). Because drought is projected to spread in every scenario, Niger should defend the 1.5 °C goal in the negotiations while seeking adaptation finance for drought-tolerant crops, water harvesting and early warning.</w:t>
      </w:r>
    </w:p>
    <w:p w14:paraId="5B2F9381" w14:textId="77777777" w:rsidR="00260DCD" w:rsidRDefault="00000000">
      <w:pPr>
        <w:pStyle w:val="Heading1"/>
      </w:pPr>
      <w:bookmarkStart w:id="3" w:name="uncertainty"/>
      <w:bookmarkEnd w:id="2"/>
      <w:r>
        <w:t>Uncertainty</w:t>
      </w:r>
    </w:p>
    <w:p w14:paraId="4B3A9F98" w14:textId="77777777" w:rsidR="00260DCD" w:rsidRDefault="00000000">
      <w:pPr>
        <w:pStyle w:val="FirstParagraph"/>
      </w:pPr>
      <w:r>
        <w:t>These are projections, not forecasts, with wide model ranges; this memo emphasises 2050 because results after 2060 are indicative. The heat index relies on estimated humidity, and the drought indicator saturates. Given Niger’s high vulnerability, actual impacts may exceed what these hazard indicators suggest.</w:t>
      </w:r>
    </w:p>
    <w:p w14:paraId="23095AFE" w14:textId="77777777" w:rsidR="00260DCD" w:rsidRDefault="00000000">
      <w:pPr>
        <w:pStyle w:val="Heading1"/>
        <w:pageBreakBefore/>
      </w:pPr>
      <w:bookmarkStart w:id="4" w:name="references"/>
      <w:bookmarkEnd w:id="3"/>
      <w:r>
        <w:lastRenderedPageBreak/>
        <w:t>References</w:t>
      </w:r>
    </w:p>
    <w:p w14:paraId="38F494C5" w14:textId="77777777" w:rsidR="00260DCD" w:rsidRDefault="00000000">
      <w:pPr>
        <w:pStyle w:val="FirstParagraph"/>
        <w:spacing w:after="120" w:line="240" w:lineRule="auto"/>
        <w:jc w:val="left"/>
      </w:pPr>
      <w:r>
        <w:t xml:space="preserve">Climate Analytics (2026). </w:t>
      </w:r>
      <w:r>
        <w:rPr>
          <w:i/>
          <w:iCs/>
        </w:rPr>
        <w:t>Climate Impact Explorer</w:t>
      </w:r>
      <w:r>
        <w:t xml:space="preserve">: Niger. Indicators: days per year with dangerous heat risk (HI &gt; 40 °C), area under severe drought (SPEI &lt; −1.5) and annual maximum 5-day precipitation; NGFS Net Zero 2050, Below 2 °C and Current Policies scenarios; ISIMIP data. </w:t>
      </w:r>
      <w:hyperlink r:id="rId14">
        <w:r>
          <w:rPr>
            <w:rStyle w:val="Hyperlink"/>
          </w:rPr>
          <w:t>https://climate-impact-explorer.climateanalytics.org</w:t>
        </w:r>
      </w:hyperlink>
      <w:r>
        <w:t xml:space="preserve"> (accessed 9 October 2026).</w:t>
      </w:r>
    </w:p>
    <w:p w14:paraId="19FC22E2" w14:textId="77777777" w:rsidR="00260DCD" w:rsidRDefault="00000000">
      <w:pPr>
        <w:pStyle w:val="BodyText"/>
        <w:spacing w:after="120" w:line="240" w:lineRule="auto"/>
        <w:jc w:val="left"/>
      </w:pPr>
      <w:r>
        <w:t xml:space="preserve">World Bank (2022). </w:t>
      </w:r>
      <w:r>
        <w:rPr>
          <w:i/>
          <w:iCs/>
        </w:rPr>
        <w:t>G5 Sahel Region Country Climate and Development Report</w:t>
      </w:r>
      <w:r>
        <w:t xml:space="preserve">. CCDR Series. Washington, DC: World Bank. </w:t>
      </w:r>
      <w:hyperlink r:id="rId15">
        <w:r>
          <w:rPr>
            <w:rStyle w:val="Hyperlink"/>
          </w:rPr>
          <w:t>http://hdl.handle.net/10986/37620</w:t>
        </w:r>
      </w:hyperlink>
    </w:p>
    <w:p w14:paraId="78D2FF5B" w14:textId="77777777" w:rsidR="00260DCD" w:rsidRDefault="00000000">
      <w:pPr>
        <w:pStyle w:val="BodyText"/>
        <w:spacing w:after="120" w:line="240" w:lineRule="auto"/>
        <w:jc w:val="left"/>
      </w:pPr>
      <w:r>
        <w:t xml:space="preserve">World Bank (2024, 28 June). The World Bank supports food security and climate resilience for households in Niger [Press release, posted online 1 July 2024]. </w:t>
      </w:r>
      <w:hyperlink r:id="rId16">
        <w:r>
          <w:rPr>
            <w:rStyle w:val="Hyperlink"/>
          </w:rPr>
          <w:t>https://www.worldbank.org/en/news/press-release/2024/07/01/the-world-bank-supports-food-security-and-climate-resilience-for-households-in-niger</w:t>
        </w:r>
      </w:hyperlink>
      <w:bookmarkEnd w:id="4"/>
    </w:p>
    <w:sectPr w:rsidR="00260DCD">
      <w:headerReference w:type="default" r:id="rId17"/>
      <w:footerReference w:type="default" r:id="rId18"/>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9725F" w14:textId="77777777" w:rsidR="00195CEF" w:rsidRDefault="00195CEF">
      <w:pPr>
        <w:spacing w:after="0" w:line="240" w:lineRule="auto"/>
      </w:pPr>
      <w:r>
        <w:separator/>
      </w:r>
    </w:p>
  </w:endnote>
  <w:endnote w:type="continuationSeparator" w:id="0">
    <w:p w14:paraId="42F469F9" w14:textId="77777777" w:rsidR="00195CEF" w:rsidRDefault="0019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4EA8" w14:textId="77777777" w:rsidR="00260DCD" w:rsidRDefault="00000000">
    <w:pPr>
      <w:jc w:val="center"/>
    </w:pPr>
    <w:r>
      <w:rPr>
        <w:sz w:val="20"/>
      </w:rPr>
      <w:fldChar w:fldCharType="begin"/>
    </w:r>
    <w:r>
      <w:rPr>
        <w:sz w:val="20"/>
      </w:rPr>
      <w:instrText>PAGE</w:instrText>
    </w:r>
    <w:r w:rsidR="00D76EF6">
      <w:rPr>
        <w:sz w:val="20"/>
      </w:rPr>
      <w:fldChar w:fldCharType="separate"/>
    </w:r>
    <w:r w:rsidR="00D76EF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23905" w14:textId="77777777" w:rsidR="00195CEF" w:rsidRDefault="00195CEF">
      <w:r>
        <w:separator/>
      </w:r>
    </w:p>
  </w:footnote>
  <w:footnote w:type="continuationSeparator" w:id="0">
    <w:p w14:paraId="186807DD" w14:textId="77777777" w:rsidR="00195CEF" w:rsidRDefault="00195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EAC6" w14:textId="77777777" w:rsidR="00260DCD" w:rsidRDefault="00000000">
    <w:pPr>
      <w:pBdr>
        <w:bottom w:val="single" w:sz="6" w:space="1" w:color="000000"/>
      </w:pBdr>
      <w:tabs>
        <w:tab w:val="right" w:pos="9072"/>
      </w:tabs>
    </w:pPr>
    <w:r>
      <w:rPr>
        <w:b/>
        <w:sz w:val="19"/>
      </w:rPr>
      <w:t>Climate Solutions and Strategies | Assignment 1</w:t>
    </w:r>
    <w:r>
      <w:rPr>
        <w:sz w:val="19"/>
      </w:rPr>
      <w:tab/>
      <w:t>Skill Up for Earth | Fall 2026 | KOUAME Koffi Fidèle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8B036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5766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0DCD"/>
    <w:rsid w:val="00195CEF"/>
    <w:rsid w:val="00260DCD"/>
    <w:rsid w:val="003E0D6F"/>
    <w:rsid w:val="00D76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5CB04"/>
  <w15:docId w15:val="{9944A145-69F3-4A24-A9F6-083FF4E37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76" w:lineRule="auto"/>
      <w:jc w:val="both"/>
    </w:pPr>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240" w:after="80"/>
      <w:outlineLvl w:val="0"/>
    </w:pPr>
    <w:rPr>
      <w:b/>
      <w:bCs/>
      <w:sz w:val="26"/>
      <w:szCs w:val="32"/>
    </w:rPr>
  </w:style>
  <w:style w:type="paragraph" w:styleId="Heading2">
    <w:name w:val="heading 2"/>
    <w:basedOn w:val="Normal"/>
    <w:next w:val="BodyText"/>
    <w:uiPriority w:val="9"/>
    <w:unhideWhenUsed/>
    <w:qFormat/>
    <w:pPr>
      <w:keepNext/>
      <w:keepLines/>
      <w:spacing w:before="240" w:after="80"/>
      <w:outlineLvl w:val="1"/>
    </w:pPr>
    <w:rPr>
      <w:b/>
      <w:bCs/>
      <w:szCs w:val="28"/>
    </w:rPr>
  </w:style>
  <w:style w:type="paragraph" w:styleId="Heading3">
    <w:name w:val="heading 3"/>
    <w:basedOn w:val="Normal"/>
    <w:next w:val="BodyText"/>
    <w:uiPriority w:val="9"/>
    <w:unhideWhenUsed/>
    <w:qFormat/>
    <w:pPr>
      <w:keepNext/>
      <w:keepLines/>
      <w:spacing w:before="240" w:after="80"/>
      <w:outlineLvl w:val="2"/>
    </w:pPr>
    <w:rPr>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before="480" w:after="240"/>
      <w:jc w:val="center"/>
    </w:pPr>
    <w:rPr>
      <w:b/>
      <w:bCs/>
      <w:sz w:val="52"/>
      <w:szCs w:val="36"/>
    </w:rPr>
  </w:style>
  <w:style w:type="paragraph" w:styleId="Subtitle">
    <w:name w:val="Subtitle"/>
    <w:basedOn w:val="Title"/>
    <w:next w:val="BodyText"/>
    <w:qFormat/>
    <w:pPr>
      <w:spacing w:before="240"/>
    </w:pPr>
    <w:rPr>
      <w:b w:val="0"/>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jc w:val="center"/>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u w:val="none"/>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val="0"/>
      <w:color w:val="365F91" w:themeColor="accent1" w:themeShade="BF"/>
    </w:rPr>
  </w:style>
  <w:style w:type="character" w:customStyle="1" w:styleId="Answer">
    <w:name w:val="Answer"/>
    <w:rPr>
      <w:rFonts w:ascii="Times New Roman" w:hAnsi="Times New Roman"/>
      <w:b/>
      <w:color w:val="1E6B32"/>
    </w:rPr>
  </w:style>
  <w:style w:type="paragraph" w:customStyle="1" w:styleId="KeyBox">
    <w:name w:val="Key Box"/>
    <w:basedOn w:val="Normal"/>
    <w:pPr>
      <w:pBdr>
        <w:left w:val="single" w:sz="18" w:space="6" w:color="000000"/>
      </w:pBdr>
      <w:shd w:val="clear" w:color="auto" w:fill="EFEFEF"/>
      <w:spacing w:after="40"/>
      <w:ind w:left="170"/>
    </w:pPr>
  </w:style>
  <w:style w:type="paragraph" w:customStyle="1" w:styleId="KeyBoxTitle">
    <w:name w:val="Key Box Title"/>
    <w:basedOn w:val="Normal"/>
    <w:pPr>
      <w:pBdr>
        <w:left w:val="single" w:sz="18" w:space="6" w:color="000000"/>
      </w:pBdr>
      <w:shd w:val="clear" w:color="auto" w:fill="E0E0E0"/>
      <w:spacing w:before="160" w:after="40"/>
      <w:ind w:left="170"/>
    </w:pPr>
    <w:rPr>
      <w:b/>
    </w:rPr>
  </w:style>
  <w:style w:type="paragraph" w:customStyle="1" w:styleId="Centered">
    <w:name w:val="Centered"/>
    <w:basedOn w:val="Normal"/>
    <w:pPr>
      <w:spacing w:after="160"/>
      <w:jc w:val="center"/>
    </w:pPr>
    <w:rPr>
      <w:sz w:val="30"/>
    </w:rPr>
  </w:style>
  <w:style w:type="paragraph" w:customStyle="1" w:styleId="EndNote">
    <w:name w:val="End Note"/>
    <w:basedOn w:val="Normal"/>
    <w:pPr>
      <w:spacing w:before="200"/>
      <w:jc w:val="center"/>
    </w:pPr>
    <w:rPr>
      <w:i/>
      <w:sz w:val="2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mate-impact-explorer.climateanalytics.org" TargetMode="External"/><Relationship Id="rId13" Type="http://schemas.openxmlformats.org/officeDocument/2006/relationships/hyperlink" Target="http://hdl.handle.net/10986/37620"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limate-impact-explorer.climateanalytics.org" TargetMode="External"/><Relationship Id="rId12" Type="http://schemas.openxmlformats.org/officeDocument/2006/relationships/hyperlink" Target="https://climate-impact-explorer.climateanalytics.or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worldbank.org/en/news/press-release/2024/07/01/the-world-bank-supports-food-security-and-climate-resilience-for-households-in-nig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hdl.handle.net/10986/37620"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orldbank.org/en/news/press-release/2024/07/01/the-world-bank-supports-food-security-and-climate-resilience-for-households-in-niger" TargetMode="External"/><Relationship Id="rId14" Type="http://schemas.openxmlformats.org/officeDocument/2006/relationships/hyperlink" Target="https://climate-impact-explorer.climateanalytic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969</Words>
  <Characters>5527</Characters>
  <Application>Microsoft Office Word</Application>
  <DocSecurity>0</DocSecurity>
  <Lines>46</Lines>
  <Paragraphs>12</Paragraphs>
  <ScaleCrop>false</ScaleCrop>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Limiting Climate Change Matters for Niger | Policy memo</dc:title>
  <dc:subject>Skill Up for Earth, Climate Solutions and Strategies, Assignment 1</dc:subject>
  <dc:creator>KOUAME Koffi Fidèle</dc:creator>
  <cp:keywords/>
  <cp:lastModifiedBy>Koffi Fidèle  KOUAME</cp:lastModifiedBy>
  <cp:revision>2</cp:revision>
  <dcterms:created xsi:type="dcterms:W3CDTF">2026-10-13T15:00:00Z</dcterms:created>
  <dcterms:modified xsi:type="dcterms:W3CDTF">2026-10-13T15:19:00Z</dcterms:modified>
</cp:coreProperties>
</file>