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  <w:r>
        <w:br/>
      </w:r>
      <w:r>
        <w:t xml:space="preserve">Advice to the national delegation to the UNFCCC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535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Climate risks for Niger and the case for limiting global warming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Niger faces a sharp rise in dangerous heat. Under current global policies, days of dangerous heat would</w:t>
      </w:r>
      <w:r>
        <w:t xml:space="preserve"> </w:t>
      </w:r>
      <w:r>
        <w:t xml:space="preserve">increase from 31 a year today to 91 by 2100. If warming stays below 2 °C, they would stay near 42. Extreme</w:t>
      </w:r>
      <w:r>
        <w:t xml:space="preserve"> </w:t>
      </w:r>
      <w:r>
        <w:t xml:space="preserve">rainfall would also intensify much more under current policies. Severe drought will affect almost the whole</w:t>
      </w:r>
      <w:r>
        <w:t xml:space="preserve"> </w:t>
      </w:r>
      <w:r>
        <w:t xml:space="preserve">country by 2030 in all scenarios. Niger should therefore support rapid global emission cuts and seek</w:t>
      </w:r>
      <w:r>
        <w:t xml:space="preserve"> </w:t>
      </w:r>
      <w:r>
        <w:t xml:space="preserve">adaptation finance now.</w:t>
      </w:r>
    </w:p>
    <w:bookmarkEnd w:id="20"/>
    <w:bookmarkStart w:id="23" w:name="a.-situation"/>
    <w:p>
      <w:pPr>
        <w:pStyle w:val="Heading1"/>
      </w:pPr>
      <w:r>
        <w:t xml:space="preserve">A. Situation</w:t>
      </w:r>
    </w:p>
    <w:p>
      <w:pPr>
        <w:numPr>
          <w:ilvl w:val="0"/>
          <w:numId w:val="1001"/>
        </w:numPr>
      </w:pPr>
      <w:r>
        <w:t xml:space="preserve">Agriculture and livestock generate almost 40 % of GDP and over 80 % of jobs. Both depend on</w:t>
      </w:r>
      <w:r>
        <w:t xml:space="preserve"> </w:t>
      </w:r>
      <w:r>
        <w:t xml:space="preserve">rainfall, and most of this work is done outdoors (</w:t>
      </w:r>
      <w:hyperlink r:id="rId21">
        <w:r>
          <w:rPr>
            <w:rStyle w:val="Hyperlink"/>
          </w:rPr>
          <w:t xml:space="preserve">World Bank,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Climate shocks are already severe. The 2005 and 2010 droughts caused national food crises. The 2024</w:t>
      </w:r>
      <w:r>
        <w:t xml:space="preserve"> </w:t>
      </w:r>
      <w:r>
        <w:t xml:space="preserve">floods killed 339 people and affected more than 1.1 million (</w:t>
      </w:r>
      <w:hyperlink r:id="rId22">
        <w:r>
          <w:rPr>
            <w:rStyle w:val="Hyperlink"/>
          </w:rPr>
          <w:t xml:space="preserve">AFP, 2024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Niger’s share of global emissions is negligible. Its exposure therefore depends on the emissions of</w:t>
      </w:r>
      <w:r>
        <w:t xml:space="preserve"> </w:t>
      </w:r>
      <w:r>
        <w:t xml:space="preserve">other countries.</w:t>
      </w:r>
    </w:p>
    <w:bookmarkEnd w:id="23"/>
    <w:bookmarkStart w:id="31" w:name="b.-projected-impacts"/>
    <w:p>
      <w:pPr>
        <w:pStyle w:val="Heading1"/>
      </w:pPr>
      <w:r>
        <w:t xml:space="preserve">B. Projected impacts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Heat (Table 1, Figure 1).</w:t>
      </w:r>
      <w:r>
        <w:t xml:space="preserve"> </w:t>
      </w:r>
      <w:r>
        <w:t xml:space="preserve">Dangerous-heat days triple under current policies, from 31 to 91 a year by 2100. Below</w:t>
      </w:r>
      <w:r>
        <w:t xml:space="preserve"> </w:t>
      </w:r>
      <w:r>
        <w:t xml:space="preserve">2 °C, they stabilise near 42. Above this heat-index threshold, sustained outdoor work exposes people to</w:t>
      </w:r>
      <w:r>
        <w:t xml:space="preserve"> </w:t>
      </w:r>
      <w:r>
        <w:t xml:space="preserve">heat exhaustion and heat stroke. The increase is about twice as large in the populated south as in the</w:t>
      </w:r>
      <w:r>
        <w:t xml:space="preserve"> </w:t>
      </w:r>
      <w:r>
        <w:t xml:space="preserve">north (+44 against +21 days at 2 °C compared with 1 °C of global warming). WASCAL researchers</w:t>
      </w:r>
      <w:r>
        <w:t xml:space="preserve"> </w:t>
      </w:r>
      <w:r>
        <w:t xml:space="preserve">project heat discomfort for over half of West Africa’s population at 1.5 to 2 °C (</w:t>
      </w:r>
      <w:hyperlink r:id="rId24">
        <w:r>
          <w:rPr>
            <w:rStyle w:val="Hyperlink"/>
          </w:rPr>
          <w:t xml:space="preserve">Sylla et al., 2018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Drought.</w:t>
      </w:r>
      <w:r>
        <w:t xml:space="preserve"> </w:t>
      </w:r>
      <w:r>
        <w:t xml:space="preserve">The indicator includes evaporation, so it shows how heat dries soils and pastures.</w:t>
      </w:r>
      <w:r>
        <w:t xml:space="preserve"> </w:t>
      </w:r>
      <w:r>
        <w:t xml:space="preserve">About 96 % of the land is affected by 2030 in all scenarios. Limiting warming to 2 °C does not</w:t>
      </w:r>
      <w:r>
        <w:t xml:space="preserve"> </w:t>
      </w:r>
      <w:r>
        <w:t xml:space="preserve">change this. Only a 1.5 °C pathway reduces the share, to 87 % by 2100. Millet yields are expected</w:t>
      </w:r>
      <w:r>
        <w:t xml:space="preserve"> </w:t>
      </w:r>
      <w:r>
        <w:t xml:space="preserve">to fall in most scenarios (</w:t>
      </w:r>
      <w:hyperlink r:id="rId25">
        <w:r>
          <w:rPr>
            <w:rStyle w:val="Hyperlink"/>
          </w:rPr>
          <w:t xml:space="preserve">Mohamed et al., 2025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Rainfall.</w:t>
      </w:r>
      <w:r>
        <w:t xml:space="preserve"> </w:t>
      </w:r>
      <w:r>
        <w:t xml:space="preserve">Extreme rainfall rises by 43 % under current policies by 2100, against 17 % below</w:t>
      </w:r>
      <w:r>
        <w:t xml:space="preserve"> </w:t>
      </w:r>
      <w:r>
        <w:t xml:space="preserve">2 °C. Even the low end of the current-policies range shows an increase. Flood risk therefore grows in</w:t>
      </w:r>
      <w:r>
        <w:t xml:space="preserve"> </w:t>
      </w:r>
      <w:r>
        <w:t xml:space="preserve">Niamey and the Niger River valley, where people, infrastructure and irrigated rice are concentrated.</w:t>
      </w:r>
      <w:r>
        <w:t xml:space="preserve"> </w:t>
      </w:r>
      <w:r>
        <w:t xml:space="preserve">Extreme Sahelian storms have already tripled since 1982 (</w:t>
      </w:r>
      <w:hyperlink r:id="rId26">
        <w:r>
          <w:rPr>
            <w:rStyle w:val="Hyperlink"/>
          </w:rPr>
          <w:t xml:space="preserve">Taylor et al., 2017</w:t>
        </w:r>
      </w:hyperlink>
      <w:r>
        <w:t xml:space="preserve">).</w:t>
      </w:r>
    </w:p>
    <w:p>
      <w:pPr>
        <w:pStyle w:val="FirstParagraph"/>
        <w:spacing w:line="240" w:lineRule="auto"/>
      </w:pPr>
      <w:r>
        <w:rPr>
          <w:bCs/>
          <w:b/>
          <w:sz w:val="20"/>
        </w:rPr>
        <w:t xml:space="preserve">Table 1. Projected change in three climate impacts for Niger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2494"/>
        <w:gridCol w:w="1020"/>
        <w:gridCol w:w="1389"/>
        <w:gridCol w:w="1389"/>
        <w:gridCol w:w="1389"/>
        <w:gridCol w:w="1389"/>
      </w:tblGrid>
      <w:tr>
        <w:trPr>
          <w:tblHeader w:val="true"/>
        </w:trPr>
        <w:tc>
          <w:tcPr>
            <w:tcW w:type="dxa" w:w="2494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1020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38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2050, below 2 °C</w:t>
            </w:r>
          </w:p>
        </w:tc>
        <w:tc>
          <w:tcPr>
            <w:tcW w:type="dxa" w:w="138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2050, current policies</w:t>
            </w:r>
          </w:p>
        </w:tc>
        <w:tc>
          <w:tcPr>
            <w:tcW w:type="dxa" w:w="138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2100, below 2 °C</w:t>
            </w:r>
          </w:p>
        </w:tc>
        <w:tc>
          <w:tcPr>
            <w:tcW w:type="dxa" w:w="1389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2100, current policies</w:t>
            </w:r>
          </w:p>
        </w:tc>
      </w:tr>
      <w:tr>
        <w:tc>
          <w:tcPr>
            <w:tcW w:type="dxa" w:w="2494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Dangerous heat (days per year with heat index above 40 °C)</w:t>
            </w:r>
          </w:p>
        </w:tc>
        <w:tc>
          <w:tcPr>
            <w:tcW w:type="dxa" w:w="1020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[33–69]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54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[41–84]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</w:tr>
      <w:tr>
        <w:tc>
          <w:tcPr>
            <w:tcW w:type="dxa" w:w="2494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Severe drought (share of land with at least one month of SPEI below −1.5)</w:t>
            </w:r>
          </w:p>
        </w:tc>
        <w:tc>
          <w:tcPr>
            <w:tcW w:type="dxa" w:w="1020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84 %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[85–100]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≈100 %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[96–100]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</w:tr>
      <w:tr>
        <w:tc>
          <w:tcPr>
            <w:tcW w:type="dxa" w:w="2494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Extreme rainfall (annual maximum 5-day rainfall, change from 1995–2014)</w:t>
            </w:r>
          </w:p>
        </w:tc>
        <w:tc>
          <w:tcPr>
            <w:tcW w:type="dxa" w:w="1020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[−7, +29]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[0, +55]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+24 %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[−1, +67]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+17 %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[−1, +54]</w:t>
            </w:r>
          </w:p>
        </w:tc>
        <w:tc>
          <w:tcPr>
            <w:tcW w:type="dxa" w:w="1389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+43 %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[+5, +110]</w:t>
            </w:r>
          </w:p>
        </w:tc>
      </w:tr>
    </w:tbl>
    <w:p>
      <w:pPr>
        <w:pStyle w:val="BodyText"/>
        <w:spacing w:line="240" w:lineRule="auto"/>
      </w:pPr>
      <w:r>
        <w:rPr>
          <w:iCs/>
          <w:i/>
          <w:sz w:val="20"/>
        </w:rPr>
        <w:t xml:space="preserve">Source:</w:t>
      </w:r>
      <w:r>
        <w:rPr>
          <w:iCs/>
          <w:i/>
          <w:sz w:val="20"/>
        </w:rPr>
        <w:t xml:space="preserve"> </w:t>
      </w:r>
      <w:hyperlink r:id="rId27">
        <w:r>
          <w:rPr>
            <w:rStyle w:val="Hyperlink"/>
            <w:iCs/>
            <w:i/>
          </w:rPr>
          <w:t xml:space="preserve">Climate Impact Explorer</w:t>
        </w:r>
      </w:hyperlink>
      <w:r>
        <w:rPr>
          <w:iCs/>
          <w:i/>
          <w:sz w:val="20"/>
        </w:rPr>
        <w:t xml:space="preserve">, Niger; NGFS scenarios (1.6 °C and 2.9 °C of warming in 2100); model median, 5–95 % range in brackets; values after 2060 indicative.</w:t>
      </w:r>
    </w:p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ie_figur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Niger.</w:t>
      </w:r>
      <w:r>
        <w:t xml:space="preserve"> </w:t>
      </w:r>
      <w:r>
        <w:t xml:space="preserve">The two pathways separate after 2030.</w:t>
      </w:r>
      <w:r>
        <w:t xml:space="preserve"> </w:t>
      </w:r>
      <w:r>
        <w:t xml:space="preserve">In 2100, current policies lead to about 91 days a year, against 42 below 2 °C and 31 today. The low end of</w:t>
      </w:r>
      <w:r>
        <w:t xml:space="preserve"> </w:t>
      </w:r>
      <w:r>
        <w:t xml:space="preserve">the current-policies range (59 days) is above the central below-2 °C value. Results after 2060 (hatched)</w:t>
      </w:r>
      <w:r>
        <w:t xml:space="preserve"> </w:t>
      </w:r>
      <w:r>
        <w:t xml:space="preserve">are indicative. Source:</w:t>
      </w:r>
      <w:r>
        <w:t xml:space="preserve"> </w:t>
      </w:r>
      <w:hyperlink r:id="rId27">
        <w:r>
          <w:rPr>
            <w:rStyle w:val="Hyperlink"/>
          </w:rPr>
          <w:t xml:space="preserve">Climate Impact Explorer</w:t>
        </w:r>
      </w:hyperlink>
      <w:r>
        <w:t xml:space="preserve">, Climate Analytics.</w:t>
      </w:r>
    </w:p>
    <w:bookmarkEnd w:id="31"/>
    <w:bookmarkStart w:id="33" w:name="c.-assessment"/>
    <w:p>
      <w:pPr>
        <w:pStyle w:val="Heading1"/>
      </w:pPr>
      <w:r>
        <w:t xml:space="preserve">C. Assessment</w:t>
      </w:r>
    </w:p>
    <w:p>
      <w:pPr>
        <w:numPr>
          <w:ilvl w:val="0"/>
          <w:numId w:val="1003"/>
        </w:numPr>
      </w:pPr>
      <w:r>
        <w:t xml:space="preserve">Limiting warming below 2 °C avoids about 49 days of dangerous heat a year by 2100. It also cuts the</w:t>
      </w:r>
      <w:r>
        <w:t xml:space="preserve"> </w:t>
      </w:r>
      <w:r>
        <w:t xml:space="preserve">rise in extreme rainfall from 43 % to 17 %. A 1.5 °C pathway keeps heat near today’s level</w:t>
      </w:r>
      <w:r>
        <w:t xml:space="preserve"> </w:t>
      </w:r>
      <w:r>
        <w:t xml:space="preserve">(32 days a year by 2100).</w:t>
      </w:r>
    </w:p>
    <w:p>
      <w:pPr>
        <w:numPr>
          <w:ilvl w:val="0"/>
          <w:numId w:val="1003"/>
        </w:numPr>
      </w:pPr>
      <w:r>
        <w:t xml:space="preserve">The economic cost is high. Climate change could reduce Niger’s annual GDP by 2.2 % in a wet scenario</w:t>
      </w:r>
      <w:r>
        <w:t xml:space="preserve"> </w:t>
      </w:r>
      <w:r>
        <w:t xml:space="preserve">and by 11.9 % in a dry scenario by 2050. These estimates exclude migration and conflict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World Bank, 2022</w:t>
        </w:r>
      </w:hyperlink>
      <w:r>
        <w:t xml:space="preserve">).</w:t>
      </w:r>
    </w:p>
    <w:p>
      <w:pPr>
        <w:numPr>
          <w:ilvl w:val="0"/>
          <w:numId w:val="1003"/>
        </w:numPr>
      </w:pPr>
      <w:r>
        <w:t xml:space="preserve">Drought increases in all scenarios. A dry year reduces harvests and pastures, raises grain prices and</w:t>
      </w:r>
      <w:r>
        <w:t xml:space="preserve"> </w:t>
      </w:r>
      <w:r>
        <w:t xml:space="preserve">forces sales of livestock. This leads to malnutrition, debt and tension between farmers and herders.</w:t>
      </w:r>
      <w:r>
        <w:t xml:space="preserve"> </w:t>
      </w:r>
      <w:r>
        <w:t xml:space="preserve">Adaptation is therefore needed now, whatever the outcome of the negotiations.</w:t>
      </w:r>
    </w:p>
    <w:bookmarkEnd w:id="33"/>
    <w:bookmarkStart w:id="34" w:name="d.-recommendations"/>
    <w:p>
      <w:pPr>
        <w:pStyle w:val="Heading1"/>
      </w:pPr>
      <w:r>
        <w:t xml:space="preserve">D. Recommendations</w:t>
      </w:r>
    </w:p>
    <w:p>
      <w:pPr>
        <w:numPr>
          <w:ilvl w:val="0"/>
          <w:numId w:val="1004"/>
        </w:numPr>
      </w:pPr>
      <w:r>
        <w:t xml:space="preserve">Support the 1.5 °C goal. Ask major emitters for national plans consistent with a rapid phase-out of</w:t>
      </w:r>
      <w:r>
        <w:t xml:space="preserve"> </w:t>
      </w:r>
      <w:r>
        <w:t xml:space="preserve">fossil fuels.</w:t>
      </w:r>
    </w:p>
    <w:p>
      <w:pPr>
        <w:numPr>
          <w:ilvl w:val="0"/>
          <w:numId w:val="1004"/>
        </w:numPr>
      </w:pPr>
      <w:r>
        <w:t xml:space="preserve">Link Niger’s support for any agreement to more adaptation finance, with simple access for Least</w:t>
      </w:r>
      <w:r>
        <w:t xml:space="preserve"> </w:t>
      </w:r>
      <w:r>
        <w:t xml:space="preserve">Developed Countries.</w:t>
      </w:r>
    </w:p>
    <w:p>
      <w:pPr>
        <w:numPr>
          <w:ilvl w:val="0"/>
          <w:numId w:val="1004"/>
        </w:numPr>
      </w:pPr>
      <w:r>
        <w:t xml:space="preserve">Seek support from the Loss and Damage Fund for droughts and floods, in coalition with the African Group</w:t>
      </w:r>
      <w:r>
        <w:t xml:space="preserve"> </w:t>
      </w:r>
      <w:r>
        <w:t xml:space="preserve">of Negotiators and the LDC Group.</w:t>
      </w:r>
    </w:p>
    <w:p>
      <w:pPr>
        <w:numPr>
          <w:ilvl w:val="0"/>
          <w:numId w:val="1004"/>
        </w:numPr>
      </w:pPr>
      <w:r>
        <w:t xml:space="preserve">At national level, fund drought-tolerant millet and sorghum, water harvesting, early warning systems and</w:t>
      </w:r>
      <w:r>
        <w:t xml:space="preserve"> </w:t>
      </w:r>
      <w:r>
        <w:t xml:space="preserve">the protection of herders’ mobility.</w:t>
      </w:r>
    </w:p>
    <w:bookmarkEnd w:id="34"/>
    <w:bookmarkStart w:id="35" w:name="e.-limits-of-the-analysis"/>
    <w:p>
      <w:pPr>
        <w:pStyle w:val="Heading1"/>
      </w:pPr>
      <w:r>
        <w:t xml:space="preserve">E. Limits of the analysis</w:t>
      </w:r>
    </w:p>
    <w:p>
      <w:pPr>
        <w:numPr>
          <w:ilvl w:val="0"/>
          <w:numId w:val="1005"/>
        </w:numPr>
      </w:pPr>
      <w:r>
        <w:t xml:space="preserve">These figures are projections, not forecasts. The direction of change is clear for heat, but its size</w:t>
      </w:r>
      <w:r>
        <w:t xml:space="preserve"> </w:t>
      </w:r>
      <w:r>
        <w:t xml:space="preserve">varies between models (59 to 134 days in 2100 under current policies).</w:t>
      </w:r>
    </w:p>
    <w:p>
      <w:pPr>
        <w:numPr>
          <w:ilvl w:val="0"/>
          <w:numId w:val="1005"/>
        </w:numPr>
      </w:pPr>
      <w:r>
        <w:t xml:space="preserve">The heat index uses an estimate of humidity at the hottest hour. The drought indicator counts a single</w:t>
      </w:r>
      <w:r>
        <w:t xml:space="preserve"> </w:t>
      </w:r>
      <w:r>
        <w:t xml:space="preserve">month of drought, so it saturates. The tool does not model millet or sorghum, so its crop indicators</w:t>
      </w:r>
      <w:r>
        <w:t xml:space="preserve"> </w:t>
      </w:r>
      <w:r>
        <w:t xml:space="preserve">(maize, rice, soy) were not used.</w:t>
      </w:r>
    </w:p>
    <w:p>
      <w:pPr>
        <w:numPr>
          <w:ilvl w:val="0"/>
          <w:numId w:val="1005"/>
        </w:numPr>
      </w:pPr>
      <w:r>
        <w:t xml:space="preserve">These are hazard projections only. Given Niger’s high vulnerability, real impacts are likely to be</w:t>
      </w:r>
      <w:r>
        <w:t xml:space="preserve"> </w:t>
      </w:r>
      <w:r>
        <w:t xml:space="preserve">larger.</w:t>
      </w:r>
    </w:p>
    <w:bookmarkEnd w:id="35"/>
    <w:bookmarkStart w:id="36" w:name="references"/>
    <w:p>
      <w:pPr>
        <w:pStyle w:val="Heading1"/>
        <w:pageBreakBefore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 and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7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5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  <w:spacing w:line="240" w:lineRule="auto" w:after="120"/>
        <w:jc w:val="lef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24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  <w:spacing w:line="240" w:lineRule="auto" w:after="120"/>
        <w:jc w:val="lef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26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2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1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6"/>
    <w:sectPr>
      <w:headerReference w:type="default" r:id="rId9"/>
      <w:footerReference w:type="default" r:id="rId10"/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7">
    <w:nsid w:val="A9920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lowerLetter"/>
      <w:lvlText w:val="%2."/>
      <w:lvlJc w:val="left"/>
      <w:pPr>
        <w:ind w:left="1440" w:hanging="480"/>
      </w:pPr>
    </w:lvl>
    <w:lvl w:ilvl="2">
      <w:start w:val="7"/>
      <w:numFmt w:val="lowerRoman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lowerLetter"/>
      <w:lvlText w:val="%5."/>
      <w:lvlJc w:val="left"/>
      <w:pPr>
        <w:ind w:left="3600" w:hanging="480"/>
      </w:pPr>
    </w:lvl>
    <w:lvl w:ilvl="5">
      <w:start w:val="7"/>
      <w:numFmt w:val="lowerRoman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lowerLetter"/>
      <w:lvlText w:val="%8."/>
      <w:lvlJc w:val="left"/>
      <w:pPr>
        <w:ind w:left="5760" w:hanging="480"/>
      </w:pPr>
    </w:lvl>
    <w:lvl w:ilvl="8">
      <w:start w:val="7"/>
      <w:numFmt w:val="lowerRoman"/>
      <w:lvlText w:val="%9."/>
      <w:lvlJc w:val="left"/>
      <w:pPr>
        <w:ind w:left="6480" w:hanging="480"/>
      </w:pPr>
    </w:lvl>
  </w:abstractNum>
  <w:abstractNum w:abstractNumId="99731">
    <w:nsid w:val="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2010">
    <w:nsid w:val="A9920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lowerLetter"/>
      <w:lvlText w:val="%2."/>
      <w:lvlJc w:val="left"/>
      <w:pPr>
        <w:ind w:left="1440" w:hanging="480"/>
      </w:pPr>
    </w:lvl>
    <w:lvl w:ilvl="2">
      <w:start w:val="10"/>
      <w:numFmt w:val="lowerRoman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lowerLetter"/>
      <w:lvlText w:val="%5."/>
      <w:lvlJc w:val="left"/>
      <w:pPr>
        <w:ind w:left="3600" w:hanging="480"/>
      </w:pPr>
    </w:lvl>
    <w:lvl w:ilvl="5">
      <w:start w:val="10"/>
      <w:numFmt w:val="lowerRoman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lowerLetter"/>
      <w:lvlText w:val="%8."/>
      <w:lvlJc w:val="left"/>
      <w:pPr>
        <w:ind w:left="5760" w:hanging="480"/>
      </w:pPr>
    </w:lvl>
    <w:lvl w:ilvl="8">
      <w:start w:val="10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360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32" Type="http://schemas.openxmlformats.org/officeDocument/2006/relationships/hyperlink" Target="http://hdl.handle.net/10986/37620" TargetMode="External"/><Relationship Id="rId27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2" Type="http://schemas.openxmlformats.org/officeDocument/2006/relationships/hyperlink" Target="https://globalnation.inquirer.net/251812/niger-ups-flood-toll-to-339-dead-more-than-1-million-affected" TargetMode="External"/><Relationship Id="rId21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://hdl.handle.net/10986/37620" TargetMode="External"/><Relationship Id="rId27" Type="http://schemas.openxmlformats.org/officeDocument/2006/relationships/hyperlink" Target="https://climate-impact-explorer.climateanalytics.org" TargetMode="External"/><Relationship Id="rId24" Type="http://schemas.openxmlformats.org/officeDocument/2006/relationships/hyperlink" Target="https://doi.org/10.1029/2018EF000873" TargetMode="External"/><Relationship Id="rId26" Type="http://schemas.openxmlformats.org/officeDocument/2006/relationships/hyperlink" Target="https://doi.org/10.1038/nature22069" TargetMode="External"/><Relationship Id="rId25" Type="http://schemas.openxmlformats.org/officeDocument/2006/relationships/hyperlink" Target="https://doi.org/10.1371/journal.pone.0333963" TargetMode="External"/><Relationship Id="rId22" Type="http://schemas.openxmlformats.org/officeDocument/2006/relationships/hyperlink" Target="https://globalnation.inquirer.net/251812/niger-ups-flood-toll-to-339-dead-more-than-1-million-affected" TargetMode="External"/><Relationship Id="rId21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2026-10-09T22:34:48Z</dcterms:created>
  <dcterms:modified xsi:type="dcterms:W3CDTF">2026-10-09T22:34:48Z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