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ed"/>
      </w:pPr>
      <w:r>
        <w:rPr>
          <w:bCs/>
          <w:b/>
        </w:rPr>
        <w:t xml:space="preserve">Policy Memo | Why Limiting Climate Change Matters for Niger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To: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Minister of Environment, Head of Niger’s UNFCCC delegation</w:t>
            </w:r>
          </w:p>
        </w:tc>
        <w:tc>
          <w:tcPr>
            <w:tcW w:type="dxa" w:w="4819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From: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KOUAME Koffi Fidèle, Climate Adviser</w:t>
            </w:r>
          </w:p>
        </w:tc>
      </w:tr>
      <w:tr>
        <w:tc>
          <w:tcPr>
            <w:tcW w:type="dxa" w:w="4819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Date: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14 October 2026</w:t>
            </w:r>
          </w:p>
        </w:tc>
        <w:tc>
          <w:tcPr>
            <w:tcW w:type="dxa" w:w="4819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Subject: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Climate risks for Niger and the case for limiting global warming</w:t>
            </w:r>
          </w:p>
        </w:tc>
      </w:tr>
    </w:tbl>
    <w:bookmarkStart w:id="20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Niger faces a sharp rise in dangerous heat. Under current global policies, days of dangerous heat would</w:t>
      </w:r>
      <w:r>
        <w:t xml:space="preserve"> </w:t>
      </w:r>
      <w:r>
        <w:t xml:space="preserve">increase from 31 a year today to 91 by 2100. Below 2 °C of warming, they would stay near 42. Severe drought</w:t>
      </w:r>
      <w:r>
        <w:t xml:space="preserve"> </w:t>
      </w:r>
      <w:r>
        <w:t xml:space="preserve">will affect almost the whole country by 2030 in all scenarios. Niger should support rapid global emission</w:t>
      </w:r>
      <w:r>
        <w:t xml:space="preserve"> </w:t>
      </w:r>
      <w:r>
        <w:t xml:space="preserve">cuts and seek adaptation finance now.</w:t>
      </w:r>
    </w:p>
    <w:bookmarkEnd w:id="20"/>
    <w:bookmarkStart w:id="23" w:name="a.-situation"/>
    <w:p>
      <w:pPr>
        <w:pStyle w:val="Heading1"/>
      </w:pPr>
      <w:r>
        <w:t xml:space="preserve">A. Situation</w:t>
      </w:r>
    </w:p>
    <w:p>
      <w:pPr>
        <w:numPr>
          <w:ilvl w:val="0"/>
          <w:numId w:val="1001"/>
        </w:numPr>
      </w:pPr>
      <w:r>
        <w:t xml:space="preserve">Agriculture and livestock generate almost 40 % of GDP and over 80 % of jobs. Both depend on</w:t>
      </w:r>
      <w:r>
        <w:t xml:space="preserve"> </w:t>
      </w:r>
      <w:r>
        <w:t xml:space="preserve">rainfall (</w:t>
      </w:r>
      <w:hyperlink r:id="rId21">
        <w:r>
          <w:rPr>
            <w:rStyle w:val="Hyperlink"/>
          </w:rPr>
          <w:t xml:space="preserve">World Bank, 2024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Climate shocks are already severe. The 2024 floods killed 339 people and affected 1.1 million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AFP, 2024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Niger’s emissions are negligible. Its exposure depends on the emissions of other countries.</w:t>
      </w:r>
    </w:p>
    <w:bookmarkEnd w:id="23"/>
    <w:bookmarkStart w:id="31" w:name="b.-projected-impacts"/>
    <w:p>
      <w:pPr>
        <w:pStyle w:val="Heading1"/>
      </w:pPr>
      <w:r>
        <w:t xml:space="preserve">B. Projected impacts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3969"/>
        <w:gridCol w:w="1360"/>
        <w:gridCol w:w="1927"/>
        <w:gridCol w:w="2381"/>
      </w:tblGrid>
      <w:tr>
        <w:trPr>
          <w:tblHeader w:val="true"/>
        </w:trPr>
        <w:tc>
          <w:tcPr>
            <w:tcW w:type="dxa" w:w="3969"/>
            <w:tcBorders>
              <w:bottom w:val="single" w:sz="6" w:color="000000"/>
            </w:tcBorders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Impact (CIE indicator)</w:t>
            </w:r>
          </w:p>
        </w:tc>
        <w:tc>
          <w:tcPr>
            <w:tcW w:type="dxa" w:w="1361"/>
            <w:tcBorders>
              <w:bottom w:val="single" w:sz="6" w:color="000000"/>
            </w:tcBorders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Today (2020)</w:t>
            </w:r>
          </w:p>
        </w:tc>
        <w:tc>
          <w:tcPr>
            <w:tcW w:type="dxa" w:w="1928"/>
            <w:tcBorders>
              <w:bottom w:val="single" w:sz="6" w:color="000000"/>
            </w:tcBorders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2100, below 2 °C</w:t>
            </w:r>
          </w:p>
        </w:tc>
        <w:tc>
          <w:tcPr>
            <w:tcW w:type="dxa" w:w="2381"/>
            <w:tcBorders>
              <w:bottom w:val="single" w:sz="6" w:color="000000"/>
            </w:tcBorders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2100, current policies</w:t>
            </w:r>
          </w:p>
        </w:tc>
      </w:tr>
      <w:tr>
        <w:tc>
          <w:tcPr>
            <w:tcW w:type="dxa" w:w="3969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Dangerous heat (days per year with heat index above 40 °C)</w:t>
            </w:r>
          </w:p>
        </w:tc>
        <w:tc>
          <w:tcPr>
            <w:tcW w:type="dxa" w:w="1361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31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[25–38]</w:t>
            </w:r>
          </w:p>
        </w:tc>
        <w:tc>
          <w:tcPr>
            <w:tcW w:type="dxa" w:w="1928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42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[29–72]</w:t>
            </w:r>
          </w:p>
        </w:tc>
        <w:tc>
          <w:tcPr>
            <w:tcW w:type="dxa" w:w="2381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91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[59–134]</w:t>
            </w:r>
          </w:p>
        </w:tc>
      </w:tr>
      <w:tr>
        <w:tc>
          <w:tcPr>
            <w:tcW w:type="dxa" w:w="3969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Severe drought (share of land with at least one month of SPEI below −1.5)</w:t>
            </w:r>
          </w:p>
        </w:tc>
        <w:tc>
          <w:tcPr>
            <w:tcW w:type="dxa" w:w="1361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84 %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[72–97]</w:t>
            </w:r>
          </w:p>
        </w:tc>
        <w:tc>
          <w:tcPr>
            <w:tcW w:type="dxa" w:w="1928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98 %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[81–100]</w:t>
            </w:r>
          </w:p>
        </w:tc>
        <w:tc>
          <w:tcPr>
            <w:tcW w:type="dxa" w:w="2381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100 %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[98–100]</w:t>
            </w:r>
          </w:p>
        </w:tc>
      </w:tr>
      <w:tr>
        <w:tc>
          <w:tcPr>
            <w:tcW w:type="dxa" w:w="3969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Extreme rainfall (annual maximum 5-day rainfall, change from 1995–2014)</w:t>
            </w:r>
          </w:p>
        </w:tc>
        <w:tc>
          <w:tcPr>
            <w:tcW w:type="dxa" w:w="1361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+8 %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[−7, +29]</w:t>
            </w:r>
          </w:p>
        </w:tc>
        <w:tc>
          <w:tcPr>
            <w:tcW w:type="dxa" w:w="1928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+17 %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[−1, +54]</w:t>
            </w:r>
          </w:p>
        </w:tc>
        <w:tc>
          <w:tcPr>
            <w:tcW w:type="dxa" w:w="2381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+43 %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[+5, +110]</w:t>
            </w:r>
          </w:p>
        </w:tc>
      </w:tr>
    </w:tbl>
    <w:p>
      <w:pPr>
        <w:pStyle w:val="BodyText"/>
        <w:spacing w:line="240" w:lineRule="auto"/>
      </w:pPr>
      <w:r>
        <w:rPr>
          <w:iCs/>
          <w:i/>
          <w:sz w:val="20"/>
        </w:rPr>
        <w:t xml:space="preserve">Table 1. Source:</w:t>
      </w:r>
      <w:r>
        <w:rPr>
          <w:iCs/>
          <w:i/>
          <w:sz w:val="20"/>
        </w:rPr>
        <w:t xml:space="preserve"> </w:t>
      </w:r>
      <w:hyperlink r:id="rId24">
        <w:r>
          <w:rPr>
            <w:rStyle w:val="Hyperlink"/>
            <w:iCs/>
            <w:i/>
          </w:rPr>
          <w:t xml:space="preserve">Climate Impact Explorer</w:t>
        </w:r>
      </w:hyperlink>
      <w:r>
        <w:rPr>
          <w:iCs/>
          <w:i/>
          <w:sz w:val="20"/>
        </w:rPr>
        <w:t xml:space="preserve">, Niger, annual, area-weighted average. NGFS</w:t>
      </w:r>
      <w:r>
        <w:rPr>
          <w:iCs/>
          <w:i/>
          <w:sz w:val="20"/>
        </w:rPr>
        <w:t xml:space="preserve"> </w:t>
      </w:r>
      <w:r>
        <w:rPr>
          <w:iCs/>
          <w:i/>
          <w:sz w:val="20"/>
        </w:rPr>
        <w:t xml:space="preserve">scenarios: 1.6 °C and 2.9 °C of global warming in 2100. Median of five models; 5–95 % range in</w:t>
      </w:r>
      <w:r>
        <w:rPr>
          <w:iCs/>
          <w:i/>
          <w:sz w:val="20"/>
        </w:rPr>
        <w:t xml:space="preserve"> </w:t>
      </w:r>
      <w:r>
        <w:rPr>
          <w:iCs/>
          <w:i/>
          <w:sz w:val="20"/>
        </w:rPr>
        <w:t xml:space="preserve">brackets. Results after 2060 are indicative.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Heat.</w:t>
      </w:r>
      <w:r>
        <w:t xml:space="preserve"> </w:t>
      </w:r>
      <w:r>
        <w:t xml:space="preserve">Dangerous-heat days triple under current policies. The increase is twice as large in</w:t>
      </w:r>
      <w:r>
        <w:t xml:space="preserve"> </w:t>
      </w:r>
      <w:r>
        <w:t xml:space="preserve">the populated south as in the north. Outdoor work becomes hazardous (</w:t>
      </w:r>
      <w:hyperlink r:id="rId25">
        <w:r>
          <w:rPr>
            <w:rStyle w:val="Hyperlink"/>
          </w:rPr>
          <w:t xml:space="preserve">Sylla et al., 2018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Drought.</w:t>
      </w:r>
      <w:r>
        <w:t xml:space="preserve"> </w:t>
      </w:r>
      <w:r>
        <w:t xml:space="preserve">About 96 % of the land is affected by 2030 in all scenarios. Only a 1.5 °C</w:t>
      </w:r>
      <w:r>
        <w:t xml:space="preserve"> </w:t>
      </w:r>
      <w:r>
        <w:t xml:space="preserve">pathway reduces this share (87 % by 2100). Millet yields are expected to fall (</w:t>
      </w:r>
      <w:hyperlink r:id="rId26">
        <w:r>
          <w:rPr>
            <w:rStyle w:val="Hyperlink"/>
          </w:rPr>
          <w:t xml:space="preserve">Mohamed et al., 2025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Rainfall.</w:t>
      </w:r>
      <w:r>
        <w:t xml:space="preserve"> </w:t>
      </w:r>
      <w:r>
        <w:t xml:space="preserve">Extreme rainfall rises by 43 % under current policies, against 17 % below</w:t>
      </w:r>
      <w:r>
        <w:t xml:space="preserve"> </w:t>
      </w:r>
      <w:r>
        <w:t xml:space="preserve">2 °C. Flood risk grows in Niamey and the Niger River valley (</w:t>
      </w:r>
      <w:hyperlink r:id="rId27">
        <w:r>
          <w:rPr>
            <w:rStyle w:val="Hyperlink"/>
          </w:rPr>
          <w:t xml:space="preserve">Taylor et al., 2017</w:t>
        </w:r>
      </w:hyperlink>
      <w:r>
        <w:t xml:space="preserve">).</w:t>
      </w:r>
    </w:p>
    <w:p>
      <w:pPr>
        <w:pStyle w:val="CaptionedFigure"/>
      </w:pPr>
      <w:r>
        <w:drawing>
          <wp:inline>
            <wp:extent cx="5334000" cy="248204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ie_figur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after="120"/>
        <w:jc w:val="both"/>
      </w:pPr>
      <w:r>
        <w:rPr>
          <w:bCs/>
          <w:b/>
        </w:rPr>
        <w:t xml:space="preserve">Figure 1. Days of dangerous heat per year in Niger.</w:t>
      </w:r>
      <w:r>
        <w:t xml:space="preserve"> </w:t>
      </w:r>
      <w:r>
        <w:t xml:space="preserve">The two pathways separate after 2030.</w:t>
      </w:r>
      <w:r>
        <w:t xml:space="preserve"> </w:t>
      </w:r>
      <w:r>
        <w:t xml:space="preserve">In 2100, the low end of the current-policies range (59 days) is above the central below-2 °C value</w:t>
      </w:r>
      <w:r>
        <w:t xml:space="preserve"> </w:t>
      </w:r>
      <w:r>
        <w:t xml:space="preserve">(42 days). Source:</w:t>
      </w:r>
      <w:r>
        <w:t xml:space="preserve"> </w:t>
      </w:r>
      <w:hyperlink r:id="rId24">
        <w:r>
          <w:rPr>
            <w:rStyle w:val="Hyperlink"/>
          </w:rPr>
          <w:t xml:space="preserve">Climate Impact Explorer</w:t>
        </w:r>
      </w:hyperlink>
      <w:r>
        <w:t xml:space="preserve">, Climate Analytics.</w:t>
      </w:r>
    </w:p>
    <w:bookmarkEnd w:id="31"/>
    <w:bookmarkStart w:id="33" w:name="c.-assessment"/>
    <w:p>
      <w:pPr>
        <w:pStyle w:val="Heading1"/>
      </w:pPr>
      <w:r>
        <w:t xml:space="preserve">C. Assessment</w:t>
      </w:r>
    </w:p>
    <w:p>
      <w:pPr>
        <w:numPr>
          <w:ilvl w:val="0"/>
          <w:numId w:val="1003"/>
        </w:numPr>
      </w:pPr>
      <w:r>
        <w:t xml:space="preserve">Limiting warming below 2 °C avoids about 49 days of dangerous heat a year by 2100. It also cuts the</w:t>
      </w:r>
      <w:r>
        <w:t xml:space="preserve"> </w:t>
      </w:r>
      <w:r>
        <w:t xml:space="preserve">rise in extreme rainfall from 43 % to 17 %. A 1.5 °C pathway keeps heat near today’s level.</w:t>
      </w:r>
    </w:p>
    <w:p>
      <w:pPr>
        <w:numPr>
          <w:ilvl w:val="0"/>
          <w:numId w:val="1003"/>
        </w:numPr>
      </w:pPr>
      <w:r>
        <w:t xml:space="preserve">Climate change could reduce Niger’s annual GDP by 2.2 % to 11.9 % by 2050 (</w:t>
      </w:r>
      <w:hyperlink r:id="rId32">
        <w:r>
          <w:rPr>
            <w:rStyle w:val="Hyperlink"/>
          </w:rPr>
          <w:t xml:space="preserve">World Bank, 2022</w:t>
        </w:r>
      </w:hyperlink>
      <w:r>
        <w:t xml:space="preserve">).</w:t>
      </w:r>
    </w:p>
    <w:p>
      <w:pPr>
        <w:numPr>
          <w:ilvl w:val="0"/>
          <w:numId w:val="1003"/>
        </w:numPr>
      </w:pPr>
      <w:r>
        <w:t xml:space="preserve">Drought increases in all scenarios. Adaptation is therefore needed now, whatever the outcome of the</w:t>
      </w:r>
      <w:r>
        <w:t xml:space="preserve"> </w:t>
      </w:r>
      <w:r>
        <w:t xml:space="preserve">negotiations.</w:t>
      </w:r>
    </w:p>
    <w:bookmarkEnd w:id="33"/>
    <w:bookmarkStart w:id="34" w:name="d.-recommendations"/>
    <w:p>
      <w:pPr>
        <w:pStyle w:val="Heading1"/>
      </w:pPr>
      <w:r>
        <w:t xml:space="preserve">D. Recommendations</w:t>
      </w:r>
    </w:p>
    <w:p>
      <w:pPr>
        <w:numPr>
          <w:ilvl w:val="0"/>
          <w:numId w:val="1004"/>
        </w:numPr>
      </w:pPr>
      <w:r>
        <w:t xml:space="preserve">Support the 1.5 °C goal and national plans consistent with a rapid phase-out of fossil fuels.</w:t>
      </w:r>
    </w:p>
    <w:p>
      <w:pPr>
        <w:numPr>
          <w:ilvl w:val="0"/>
          <w:numId w:val="1004"/>
        </w:numPr>
      </w:pPr>
      <w:r>
        <w:t xml:space="preserve">Link Niger’s support for any agreement to more adaptation finance, with simple access for Least</w:t>
      </w:r>
      <w:r>
        <w:t xml:space="preserve"> </w:t>
      </w:r>
      <w:r>
        <w:t xml:space="preserve">Developed Countries.</w:t>
      </w:r>
    </w:p>
    <w:p>
      <w:pPr>
        <w:numPr>
          <w:ilvl w:val="0"/>
          <w:numId w:val="1004"/>
        </w:numPr>
      </w:pPr>
      <w:r>
        <w:t xml:space="preserve">Seek support from the Loss and Damage Fund for droughts and floods, with the African Group and the</w:t>
      </w:r>
      <w:r>
        <w:t xml:space="preserve"> </w:t>
      </w:r>
      <w:r>
        <w:t xml:space="preserve">LDC Group.</w:t>
      </w:r>
    </w:p>
    <w:p>
      <w:pPr>
        <w:numPr>
          <w:ilvl w:val="0"/>
          <w:numId w:val="1004"/>
        </w:numPr>
      </w:pPr>
      <w:r>
        <w:t xml:space="preserve">At home, fund drought-tolerant millet and sorghum, water harvesting and early warning systems.</w:t>
      </w:r>
    </w:p>
    <w:bookmarkEnd w:id="34"/>
    <w:bookmarkStart w:id="35" w:name="e.-limits-of-the-analysis"/>
    <w:p>
      <w:pPr>
        <w:pStyle w:val="Heading1"/>
      </w:pPr>
      <w:r>
        <w:t xml:space="preserve">E. Limits of the analysis</w:t>
      </w:r>
    </w:p>
    <w:p>
      <w:pPr>
        <w:numPr>
          <w:ilvl w:val="0"/>
          <w:numId w:val="1005"/>
        </w:numPr>
      </w:pPr>
      <w:r>
        <w:t xml:space="preserve">These figures are projections, not forecasts. Model ranges are wide, the drought indicator saturates,</w:t>
      </w:r>
      <w:r>
        <w:t xml:space="preserve"> </w:t>
      </w:r>
      <w:r>
        <w:t xml:space="preserve">and the tool does not model millet or sorghum. Given Niger’s vulnerability, real impacts are likely to</w:t>
      </w:r>
      <w:r>
        <w:t xml:space="preserve"> </w:t>
      </w:r>
      <w:r>
        <w:t xml:space="preserve">be larger.</w:t>
      </w:r>
    </w:p>
    <w:bookmarkEnd w:id="35"/>
    <w:bookmarkStart w:id="36" w:name="references"/>
    <w:p>
      <w:pPr>
        <w:pStyle w:val="Heading1"/>
        <w:pageBreakBefore/>
      </w:pPr>
      <w:r>
        <w:t xml:space="preserve">References</w:t>
      </w:r>
    </w:p>
    <w:p>
      <w:pPr>
        <w:pStyle w:val="FirstParagraph"/>
        <w:spacing w:line="240" w:lineRule="auto" w:after="120"/>
        <w:jc w:val="left"/>
      </w:pPr>
      <w:r>
        <w:t xml:space="preserve">AFP (2024, 9 October). Niger ups flood toll to 339 dead, more than 1 million affected.</w:t>
      </w:r>
      <w:r>
        <w:t xml:space="preserve"> </w:t>
      </w:r>
      <w:r>
        <w:rPr>
          <w:iCs/>
          <w:i/>
        </w:rPr>
        <w:t xml:space="preserve">Inquirer.net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https://globalnation.inquirer.net/251812/niger-ups-flood-toll-to-339-dead-more-than-1-million-affected</w:t>
        </w:r>
      </w:hyperlink>
    </w:p>
    <w:p>
      <w:pPr>
        <w:pStyle w:val="BodyText"/>
        <w:spacing w:line="240" w:lineRule="auto" w:after="120"/>
        <w:jc w:val="left"/>
      </w:pPr>
      <w:r>
        <w:t xml:space="preserve">Climate Analytics (2026).</w:t>
      </w:r>
      <w:r>
        <w:t xml:space="preserve"> </w:t>
      </w:r>
      <w:r>
        <w:rPr>
          <w:iCs/>
          <w:i/>
        </w:rPr>
        <w:t xml:space="preserve">Climate Impact Explorer</w:t>
      </w:r>
      <w:r>
        <w:t xml:space="preserve">: Niger. Indicators: days per year with</w:t>
      </w:r>
      <w:r>
        <w:t xml:space="preserve"> </w:t>
      </w:r>
      <w:r>
        <w:t xml:space="preserve">dangerous heat risk (HI &gt; 40 °C), area under severe drought (SPEI &lt; −1.5) and annual maximum 5-day</w:t>
      </w:r>
      <w:r>
        <w:t xml:space="preserve"> </w:t>
      </w:r>
      <w:r>
        <w:t xml:space="preserve">precipitation; NGFS Below 2 °C, Current Policies and Net Zero 2050 scenarios; ISIMIP data.</w:t>
      </w:r>
      <w:r>
        <w:t xml:space="preserve"> </w:t>
      </w:r>
      <w:hyperlink r:id="rId24">
        <w:r>
          <w:rPr>
            <w:rStyle w:val="Hyperlink"/>
          </w:rPr>
          <w:t xml:space="preserve">https://climate-impact-explorer.climateanalytics.org</w:t>
        </w:r>
      </w:hyperlink>
      <w:r>
        <w:t xml:space="preserve"> </w:t>
      </w:r>
      <w:r>
        <w:t xml:space="preserve">(accessed 9 October 2026).</w:t>
      </w:r>
    </w:p>
    <w:p>
      <w:pPr>
        <w:pStyle w:val="BodyText"/>
        <w:spacing w:line="240" w:lineRule="auto" w:after="120"/>
        <w:jc w:val="left"/>
      </w:pPr>
      <w:r>
        <w:t xml:space="preserve">Mohamed, A. M. L., Salack, S., Mkuhlani, S., Chemura, A., et al. (2025). Impact of climate change on</w:t>
      </w:r>
      <w:r>
        <w:t xml:space="preserve"> </w:t>
      </w:r>
      <w:r>
        <w:t xml:space="preserve">millet yield under different fertilization levels in three agroecological zones of Niger Republic.</w:t>
      </w:r>
      <w:r>
        <w:t xml:space="preserve"> </w:t>
      </w:r>
      <w:r>
        <w:rPr>
          <w:iCs/>
          <w:i/>
        </w:rPr>
        <w:t xml:space="preserve">PLOS ONE</w:t>
      </w:r>
      <w:r>
        <w:t xml:space="preserve">, 20(10), e0333963.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https://doi.org/10.1371/journal.pone.0333963</w:t>
        </w:r>
      </w:hyperlink>
    </w:p>
    <w:p>
      <w:pPr>
        <w:pStyle w:val="BodyText"/>
        <w:spacing w:line="240" w:lineRule="auto" w:after="120"/>
        <w:jc w:val="left"/>
      </w:pPr>
      <w:r>
        <w:t xml:space="preserve">Sylla, M. B., Faye, A., Giorgi, F., Diedhiou, A., &amp; Kunstmann, H. (2018). Projected heat stress under</w:t>
      </w:r>
      <w:r>
        <w:t xml:space="preserve"> </w:t>
      </w:r>
      <w:r>
        <w:t xml:space="preserve">1.5 °C and 2 °C global warming scenarios creates unprecedented discomfort for humans in West</w:t>
      </w:r>
      <w:r>
        <w:t xml:space="preserve"> </w:t>
      </w:r>
      <w:r>
        <w:t xml:space="preserve">Africa.</w:t>
      </w:r>
      <w:r>
        <w:t xml:space="preserve"> </w:t>
      </w:r>
      <w:r>
        <w:rPr>
          <w:iCs/>
          <w:i/>
        </w:rPr>
        <w:t xml:space="preserve">Earth’s Future</w:t>
      </w:r>
      <w:r>
        <w:t xml:space="preserve">, 6(7), 1029–1044.</w:t>
      </w:r>
      <w:r>
        <w:t xml:space="preserve"> </w:t>
      </w:r>
      <w:hyperlink r:id="rId25">
        <w:r>
          <w:rPr>
            <w:rStyle w:val="Hyperlink"/>
          </w:rPr>
          <w:t xml:space="preserve">https://doi.org/10.1029/2018EF000873</w:t>
        </w:r>
      </w:hyperlink>
    </w:p>
    <w:p>
      <w:pPr>
        <w:pStyle w:val="BodyText"/>
        <w:spacing w:line="240" w:lineRule="auto" w:after="120"/>
        <w:jc w:val="left"/>
      </w:pPr>
      <w:r>
        <w:t xml:space="preserve">Taylor, C. M., Belušić, D., Guichard, F., Parker, D. J., Vischel, T., Bock, O., Harris, P. P.,</w:t>
      </w:r>
      <w:r>
        <w:t xml:space="preserve"> </w:t>
      </w:r>
      <w:r>
        <w:t xml:space="preserve">Janicot, S., Klein, C., &amp; Panthou, G. (2017). Frequency of extreme Sahelian storms tripled since 1982 in</w:t>
      </w:r>
      <w:r>
        <w:t xml:space="preserve"> </w:t>
      </w:r>
      <w:r>
        <w:t xml:space="preserve">satellite observations.</w:t>
      </w:r>
      <w:r>
        <w:t xml:space="preserve"> </w:t>
      </w:r>
      <w:r>
        <w:rPr>
          <w:iCs/>
          <w:i/>
        </w:rPr>
        <w:t xml:space="preserve">Nature</w:t>
      </w:r>
      <w:r>
        <w:t xml:space="preserve">, 544, 475–478.</w:t>
      </w:r>
      <w:r>
        <w:t xml:space="preserve"> </w:t>
      </w:r>
      <w:hyperlink r:id="rId27">
        <w:r>
          <w:rPr>
            <w:rStyle w:val="Hyperlink"/>
          </w:rPr>
          <w:t xml:space="preserve">https://doi.org/10.1038/nature22069</w:t>
        </w:r>
      </w:hyperlink>
    </w:p>
    <w:p>
      <w:pPr>
        <w:pStyle w:val="BodyText"/>
        <w:spacing w:line="240" w:lineRule="auto" w:after="120"/>
        <w:jc w:val="left"/>
      </w:pPr>
      <w:r>
        <w:t xml:space="preserve">World Bank (2022).</w:t>
      </w:r>
      <w:r>
        <w:t xml:space="preserve"> </w:t>
      </w:r>
      <w:r>
        <w:rPr>
          <w:iCs/>
          <w:i/>
        </w:rPr>
        <w:t xml:space="preserve">G5 Sahel Region Country Climate and Development Report</w:t>
      </w:r>
      <w:r>
        <w:t xml:space="preserve">. CCDR Series.</w:t>
      </w:r>
      <w:r>
        <w:t xml:space="preserve"> </w:t>
      </w:r>
      <w:r>
        <w:t xml:space="preserve">Washington, DC: World Bank.</w:t>
      </w:r>
      <w:r>
        <w:t xml:space="preserve"> </w:t>
      </w:r>
      <w:hyperlink r:id="rId32">
        <w:r>
          <w:rPr>
            <w:rStyle w:val="Hyperlink"/>
          </w:rPr>
          <w:t xml:space="preserve">http://hdl.handle.net/10986/37620</w:t>
        </w:r>
      </w:hyperlink>
    </w:p>
    <w:p>
      <w:pPr>
        <w:pStyle w:val="BodyText"/>
        <w:spacing w:line="240" w:lineRule="auto" w:after="120"/>
        <w:jc w:val="left"/>
      </w:pPr>
      <w:r>
        <w:t xml:space="preserve">World Bank (2024, 28 June). The World Bank supports food security and climate resilience for households</w:t>
      </w:r>
      <w:r>
        <w:t xml:space="preserve"> </w:t>
      </w:r>
      <w:r>
        <w:t xml:space="preserve">in Niger [Press release].</w:t>
      </w:r>
      <w:r>
        <w:t xml:space="preserve"> </w:t>
      </w:r>
      <w:hyperlink r:id="rId21">
        <w:r>
          <w:rPr>
            <w:rStyle w:val="Hyperlink"/>
          </w:rPr>
          <w:t xml:space="preserve">https://www.worldbank.org/en/news/press-release/2024/07/01/the-world-bank-supports-food-security-and-climate-resilience-for-households-in-niger</w:t>
        </w:r>
      </w:hyperlink>
    </w:p>
    <w:bookmarkEnd w:id="36"/>
    <w:sectPr>
      <w:headerReference w:type="default" r:id="rId9"/>
      <w:footerReference w:type="default" r:id="rId10"/>
      <w:pgSz w:h="16838" w:w="11906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6" w:space="1" w:color="000000"/>
      </w:pBdr>
    </w:pPr>
    <w:r/>
    <w:r>
      <w:rPr>
        <w:rFonts w:ascii="Times New Roman" w:hAnsi="Times New Roman"/>
        <w:b/>
        <w:sz w:val="19"/>
      </w:rPr>
      <w:t>Climate Solutions and Strategies | Assignment 1</w:t>
    </w:r>
    <w:r>
      <w:rPr>
        <w:rFonts w:ascii="Times New Roman" w:hAnsi="Times New Roman"/>
        <w:sz w:val="19"/>
      </w:rPr>
      <w:tab/>
      <w:t>Skill Up for Earth | Fall 2026 | KOUAME Koffi Fidèle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204">
    <w:nsid w:val="A9920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Roman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Roman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Roman"/>
      <w:lvlText w:val="%9."/>
      <w:lvlJc w:val="left"/>
      <w:pPr>
        <w:ind w:left="6480" w:hanging="480"/>
      </w:pPr>
    </w:lvl>
  </w:abstractNum>
  <w:abstractNum w:abstractNumId="99207">
    <w:nsid w:val="A9920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lowerLetter"/>
      <w:lvlText w:val="%2."/>
      <w:lvlJc w:val="left"/>
      <w:pPr>
        <w:ind w:left="1440" w:hanging="480"/>
      </w:pPr>
    </w:lvl>
    <w:lvl w:ilvl="2">
      <w:start w:val="7"/>
      <w:numFmt w:val="lowerRoman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lowerLetter"/>
      <w:lvlText w:val="%5."/>
      <w:lvlJc w:val="left"/>
      <w:pPr>
        <w:ind w:left="3600" w:hanging="480"/>
      </w:pPr>
    </w:lvl>
    <w:lvl w:ilvl="5">
      <w:start w:val="7"/>
      <w:numFmt w:val="lowerRoman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lowerLetter"/>
      <w:lvlText w:val="%8."/>
      <w:lvlJc w:val="left"/>
      <w:pPr>
        <w:ind w:left="5760" w:hanging="480"/>
      </w:pPr>
    </w:lvl>
    <w:lvl w:ilvl="8">
      <w:start w:val="7"/>
      <w:numFmt w:val="lowerRoman"/>
      <w:lvlText w:val="%9.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2010">
    <w:nsid w:val="A9920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lowerLetter"/>
      <w:lvlText w:val="%2."/>
      <w:lvlJc w:val="left"/>
      <w:pPr>
        <w:ind w:left="1440" w:hanging="480"/>
      </w:pPr>
    </w:lvl>
    <w:lvl w:ilvl="2">
      <w:start w:val="10"/>
      <w:numFmt w:val="lowerRoman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lowerLetter"/>
      <w:lvlText w:val="%5."/>
      <w:lvlJc w:val="left"/>
      <w:pPr>
        <w:ind w:left="3600" w:hanging="480"/>
      </w:pPr>
    </w:lvl>
    <w:lvl w:ilvl="5">
      <w:start w:val="10"/>
      <w:numFmt w:val="lowerRoman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lowerLetter"/>
      <w:lvlText w:val="%8."/>
      <w:lvlJc w:val="left"/>
      <w:pPr>
        <w:ind w:left="5760" w:hanging="480"/>
      </w:pPr>
    </w:lvl>
    <w:lvl w:ilvl="8">
      <w:start w:val="10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2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0" w:line="360" w:lineRule="auto"/>
      <w:jc w:val="both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120" w:before="0" w:line="360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b w:val="0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 w:line="276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 w:line="276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 w:line="276" w:lineRule="auto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firstLine="0" w:left="480" w:right="480"/>
      <w:jc w:val="both"/>
    </w:pPr>
    <w:rPr>
      <w:rFonts w:ascii="Times New Roman" w:cs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Answer" w:type="character">
    <w:name w:val="Answer"/>
    <w:rPr>
      <w:rFonts w:ascii="Times New Roman" w:hAnsi="Times New Roman"/>
      <w:b/>
      <w:color w:val="1E6B32"/>
    </w:rPr>
  </w:style>
  <w:style w:customStyle="1" w:styleId="KeyBox" w:type="paragraph">
    <w:name w:val="Key Box"/>
    <w:basedOn w:val="Normal"/>
    <w:pPr>
      <w:spacing w:after="40" w:line="360" w:lineRule="auto"/>
      <w:ind w:left="170"/>
      <w:jc w:val="both"/>
      <w:pBdr>
        <w:left w:color="000000" w:space="6" w:sz="18" w:val="single"/>
      </w:pBdr>
      <w:shd w:color="auto" w:fill="EFEFEF" w:val="clear"/>
    </w:pPr>
    <w:rPr>
      <w:rFonts w:ascii="Times New Roman" w:cs="Times New Roman" w:eastAsia="Times New Roman" w:hAnsi="Times New Roman"/>
      <w:color w:val="000000"/>
      <w:sz w:val="24"/>
    </w:rPr>
  </w:style>
  <w:style w:customStyle="1" w:styleId="KeyBoxTitle" w:type="paragraph">
    <w:name w:val="Key Box Title"/>
    <w:basedOn w:val="Normal"/>
    <w:pPr>
      <w:pBdr>
        <w:left w:color="000000" w:space="6" w:sz="18" w:val="single"/>
      </w:pBdr>
      <w:shd w:color="auto" w:fill="E0E0E0" w:val="clear"/>
      <w:spacing w:after="40" w:before="160"/>
      <w:ind w:left="170"/>
    </w:pPr>
    <w:rPr>
      <w:rFonts w:ascii="Times New Roman" w:cs="Times New Roman" w:eastAsia="Times New Roman" w:hAnsi="Times New Roman"/>
      <w:b/>
      <w:color w:val="000000"/>
      <w:sz w:val="24"/>
    </w:rPr>
  </w:style>
  <w:style w:customStyle="1" w:styleId="Centered" w:type="paragraph">
    <w:name w:val="Centered"/>
    <w:basedOn w:val="Normal"/>
    <w:pPr>
      <w:spacing w:after="160"/>
      <w:jc w:val="center"/>
    </w:pPr>
    <w:rPr>
      <w:rFonts w:ascii="Times New Roman" w:cs="Times New Roman" w:eastAsia="Times New Roman" w:hAnsi="Times New Roman"/>
      <w:b w:val="0"/>
      <w:color w:val="000000"/>
      <w:sz w:val="30"/>
    </w:rPr>
  </w:style>
  <w:style w:customStyle="1" w:styleId="EndNote" w:type="paragraph">
    <w:name w:val="End Note"/>
    <w:basedOn w:val="Normal"/>
    <w:pPr>
      <w:spacing w:before="200"/>
      <w:jc w:val="center"/>
    </w:pPr>
    <w:rPr>
      <w:rFonts w:ascii="Times New Roman" w:cs="Times New Roman" w:eastAsia="Times New Roman" w:hAnsi="Times New Roman"/>
      <w:i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image" Target="media/rId28.png"/><Relationship Id="rId32" Type="http://schemas.openxmlformats.org/officeDocument/2006/relationships/hyperlink" Target="http://hdl.handle.net/10986/37620" TargetMode="External"/><Relationship Id="rId24" Type="http://schemas.openxmlformats.org/officeDocument/2006/relationships/hyperlink" Target="https://climate-impact-explorer.climateanalytics.org" TargetMode="External"/><Relationship Id="rId25" Type="http://schemas.openxmlformats.org/officeDocument/2006/relationships/hyperlink" Target="https://doi.org/10.1029/2018EF000873" TargetMode="External"/><Relationship Id="rId27" Type="http://schemas.openxmlformats.org/officeDocument/2006/relationships/hyperlink" Target="https://doi.org/10.1038/nature22069" TargetMode="External"/><Relationship Id="rId26" Type="http://schemas.openxmlformats.org/officeDocument/2006/relationships/hyperlink" Target="https://doi.org/10.1371/journal.pone.0333963" TargetMode="External"/><Relationship Id="rId22" Type="http://schemas.openxmlformats.org/officeDocument/2006/relationships/hyperlink" Target="https://globalnation.inquirer.net/251812/niger-ups-flood-toll-to-339-dead-more-than-1-million-affected" TargetMode="External"/><Relationship Id="rId21" Type="http://schemas.openxmlformats.org/officeDocument/2006/relationships/hyperlink" Target="https://www.worldbank.org/en/news/press-release/2024/07/01/the-world-bank-supports-food-security-and-climate-resilience-for-households-in-niger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://hdl.handle.net/10986/37620" TargetMode="External"/><Relationship Id="rId24" Type="http://schemas.openxmlformats.org/officeDocument/2006/relationships/hyperlink" Target="https://climate-impact-explorer.climateanalytics.org" TargetMode="External"/><Relationship Id="rId25" Type="http://schemas.openxmlformats.org/officeDocument/2006/relationships/hyperlink" Target="https://doi.org/10.1029/2018EF000873" TargetMode="External"/><Relationship Id="rId27" Type="http://schemas.openxmlformats.org/officeDocument/2006/relationships/hyperlink" Target="https://doi.org/10.1038/nature22069" TargetMode="External"/><Relationship Id="rId26" Type="http://schemas.openxmlformats.org/officeDocument/2006/relationships/hyperlink" Target="https://doi.org/10.1371/journal.pone.0333963" TargetMode="External"/><Relationship Id="rId22" Type="http://schemas.openxmlformats.org/officeDocument/2006/relationships/hyperlink" Target="https://globalnation.inquirer.net/251812/niger-ups-flood-toll-to-339-dead-more-than-1-million-affected" TargetMode="External"/><Relationship Id="rId21" Type="http://schemas.openxmlformats.org/officeDocument/2006/relationships/hyperlink" Target="https://www.worldbank.org/en/news/press-release/2024/07/01/the-world-bank-supports-food-security-and-climate-resilience-for-households-in-ni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Limiting Climate Change Matters for Niger | Policy memo</dc:title>
  <dc:creator>KOUAME Koffi Fidèle</dc:creator>
  <cp:keywords/>
  <dcterms:created xsi:type="dcterms:W3CDTF">2026-10-09T22:34:48Z</dcterms:created>
  <dcterms:modified xsi:type="dcterms:W3CDTF">2026-10-09T22:34:48Z</dcterms:modified>
  <dc:subject>Skill Up for Earth, Climate Solutions and Strategies, Assignment 1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