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5783"/>
        <w:gridCol w:w="1984"/>
      </w:tblGrid>
      <w:tr>
        <w:tc>
          <w:tcPr>
            <w:tcW w:type="dxa" w:w="1984"/>
            <w:vAlign w:val="center"/>
          </w:tcPr>
          <w:p>
            <w:r>
              <w:drawing>
                <wp:inline>
                  <wp:extent cx="1116000" cy="112126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21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8"/>
              </w:rPr>
              <w:t>A</w:t>
            </w:r>
            <w:r>
              <w:rPr>
                <w:rFonts w:ascii="Times New Roman" w:hAnsi="Times New Roman"/>
                <w:b/>
                <w:sz w:val="28"/>
              </w:rPr>
              <w:t>bdou</w:t>
            </w:r>
            <w:r>
              <w:rPr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color w:val="C00000"/>
                <w:sz w:val="28"/>
              </w:rPr>
              <w:t>M</w:t>
            </w:r>
            <w:r>
              <w:rPr>
                <w:rFonts w:ascii="Times New Roman" w:hAnsi="Times New Roman"/>
                <w:b/>
                <w:sz w:val="28"/>
              </w:rPr>
              <w:t>oumouni</w:t>
            </w:r>
            <w:r>
              <w:rPr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color w:val="C00000"/>
                <w:sz w:val="28"/>
              </w:rPr>
              <w:t>U</w:t>
            </w:r>
            <w:r>
              <w:rPr>
                <w:rFonts w:ascii="Times New Roman" w:hAnsi="Times New Roman"/>
                <w:b/>
                <w:sz w:val="28"/>
              </w:rPr>
              <w:t>niversity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color w:val="6AA84F"/>
                <w:sz w:val="19"/>
              </w:rPr>
              <w:t>I</w:t>
            </w:r>
            <w:r>
              <w:rPr>
                <w:rFonts w:ascii="Times New Roman" w:hAnsi="Times New Roman"/>
                <w:b/>
                <w:sz w:val="19"/>
              </w:rPr>
              <w:t>nternational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M</w:t>
            </w:r>
            <w:r>
              <w:rPr>
                <w:rFonts w:ascii="Times New Roman" w:hAnsi="Times New Roman"/>
                <w:b/>
                <w:sz w:val="19"/>
              </w:rPr>
              <w:t>aster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P</w:t>
            </w:r>
            <w:r>
              <w:rPr>
                <w:rFonts w:ascii="Times New Roman" w:hAnsi="Times New Roman"/>
                <w:b/>
                <w:sz w:val="19"/>
              </w:rPr>
              <w:t>rogram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>in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E</w:t>
            </w:r>
            <w:r>
              <w:rPr>
                <w:rFonts w:ascii="Times New Roman" w:hAnsi="Times New Roman"/>
                <w:b/>
                <w:sz w:val="19"/>
              </w:rPr>
              <w:t>nergy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G</w:t>
            </w:r>
            <w:r>
              <w:rPr>
                <w:rFonts w:ascii="Times New Roman" w:hAnsi="Times New Roman"/>
                <w:b/>
                <w:sz w:val="19"/>
              </w:rPr>
              <w:t>reen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H</w:t>
            </w:r>
            <w:r>
              <w:rPr>
                <w:rFonts w:ascii="Times New Roman" w:hAnsi="Times New Roman"/>
                <w:b/>
                <w:sz w:val="19"/>
              </w:rPr>
              <w:t>ydrogen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(IMP-EGH)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drawing>
                <wp:inline>
                  <wp:extent cx="1188000" cy="42257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peg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  <w:jc w:val="center"/>
        <w:pBdr>
          <w:bottom w:val="single" w:sz="18" w:space="1" w:color="A59F93"/>
        </w:pBdr>
      </w:pPr>
    </w:p>
    <w:p>
      <w:pPr>
        <w:spacing w:after="0" w:before="2600"/>
        <w:jc w:val="center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52"/>
        </w:rPr>
        <w:t>Why Limiting Climate Change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52"/>
        </w:rPr>
        <w:t>Matters for Niger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32"/>
        </w:rPr>
        <w:t>Policy memo to the Government of Niger</w:t>
      </w:r>
    </w:p>
    <w:p>
      <w:pPr>
        <w:spacing w:after="440" w:before="0"/>
        <w:jc w:val="center"/>
      </w:pPr>
      <w:r>
        <w:rPr>
          <w:rFonts w:ascii="Times New Roman" w:hAnsi="Times New Roman"/>
          <w:b w:val="0"/>
          <w:i w:val="0"/>
          <w:sz w:val="24"/>
        </w:rPr>
        <w:t>Climate Solutions and Strategies     Assignment 1     Country case study: Niger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Assessing national climate risks with the Climate Impact Explorer</w:t>
      </w:r>
    </w:p>
    <w:p>
      <w:pPr>
        <w:spacing w:after="2800" w:before="0"/>
        <w:jc w:val="center"/>
      </w:pPr>
      <w:r>
        <w:rPr>
          <w:rFonts w:ascii="Times New Roman" w:hAnsi="Times New Roman"/>
          <w:b w:val="0"/>
          <w:i w:val="0"/>
          <w:sz w:val="24"/>
        </w:rPr>
        <w:t>and the national interest of limiting global warming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Course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Climate Solutions and Strategies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Assignment 1, due 14 October 2026</w:t>
            </w:r>
          </w:p>
        </w:tc>
        <w:tc>
          <w:tcPr>
            <w:tcW w:type="dxa" w:w="4876"/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Prepared by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KOUAME Koffi Fidèle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IMP-EGH, option System Analysis</w:t>
            </w:r>
          </w:p>
        </w:tc>
      </w:tr>
    </w:tbl>
    <w:p>
      <w:pPr>
        <w:spacing w:after="0" w:before="1000"/>
        <w:jc w:val="center"/>
      </w:pPr>
      <w:r>
        <w:rPr>
          <w:rFonts w:ascii="Times New Roman" w:hAnsi="Times New Roman"/>
          <w:b/>
          <w:i w:val="0"/>
          <w:sz w:val="22"/>
        </w:rPr>
        <w:t>October 2026</w:t>
      </w:r>
    </w:p>
    <w:p>
      <w:pPr>
        <w:spacing w:after="0" w:before="0"/>
        <w:jc w:val="center"/>
      </w:pPr>
      <w:r>
        <w:br w:type="page"/>
      </w:r>
    </w:p>
    <w:p>
      <w:pPr>
        <w:pStyle w:val="Centered"/>
      </w:pPr>
      <w:r>
        <w:rPr>
          <w:bCs/>
          <w:b/>
        </w:rPr>
        <w:t xml:space="preserve">Policy Memo | Why Limiting Climate Change Matters for Niger</w:t>
      </w:r>
      <w:r>
        <w:br/>
      </w:r>
      <w:r>
        <w:t xml:space="preserve">Advice to the national delegation to the UNFCCC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To: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Minister of Environment, Head of Niger’s UNFCCC delegation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From: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KOUAME Koffi Fidèle, Climate Adviser</w:t>
            </w:r>
          </w:p>
        </w:tc>
      </w:tr>
      <w:tr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Date: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14 October 2026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Subject: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What Niger stands to lose, and to gain if warming is limited</w:t>
            </w:r>
          </w:p>
        </w:tc>
      </w:tr>
    </w:tbl>
    <w:p>
      <w:pPr>
        <w:pStyle w:val="KeyBoxTitle"/>
      </w:pPr>
      <w:r>
        <w:rPr>
          <w:bCs/>
          <w:b/>
        </w:rPr>
        <w:t xml:space="preserve">Key message</w:t>
      </w:r>
    </w:p>
    <w:p>
      <w:pPr>
        <w:pStyle w:val="KeyBox"/>
      </w:pPr>
      <w:r>
        <w:rPr>
          <w:bCs/>
          <w:b/>
        </w:rPr>
        <w:t xml:space="preserve">Under current global policies, Niger would face about 91 days a year of dangerous heat by 2100, three</w:t>
      </w:r>
      <w:r>
        <w:rPr>
          <w:bCs/>
          <w:b/>
        </w:rPr>
        <w:t xml:space="preserve"> </w:t>
      </w:r>
      <w:r>
        <w:rPr>
          <w:bCs/>
          <w:b/>
        </w:rPr>
        <w:t xml:space="preserve">times today’s 31; if the world holds warming below 2 °C, that number stabilises at around 42.</w:t>
      </w:r>
      <w:r>
        <w:t xml:space="preserve"> </w:t>
      </w:r>
      <w:r>
        <w:t xml:space="preserve">In an</w:t>
      </w:r>
      <w:r>
        <w:t xml:space="preserve"> </w:t>
      </w:r>
      <w:r>
        <w:t xml:space="preserve">economy where farming and herding employ more than 80 % of people, mostly outdoors, this is the largest</w:t>
      </w:r>
      <w:r>
        <w:t xml:space="preserve"> </w:t>
      </w:r>
      <w:r>
        <w:t xml:space="preserve">avoidable loss. Current policies would also make the heaviest multi-day rains about 43 % more intense,</w:t>
      </w:r>
      <w:r>
        <w:t xml:space="preserve"> </w:t>
      </w:r>
      <w:r>
        <w:t xml:space="preserve">against 17 % below 2 °C. Severe drought months, however, will touch almost the whole country by 2030 in</w:t>
      </w:r>
      <w:r>
        <w:t xml:space="preserve"> </w:t>
      </w:r>
      <w:r>
        <w:t xml:space="preserve">every scenario, so</w:t>
      </w:r>
      <w:r>
        <w:t xml:space="preserve"> </w:t>
      </w:r>
      <w:r>
        <w:rPr>
          <w:bCs/>
          <w:b/>
        </w:rPr>
        <w:t xml:space="preserve">Niger must both push for a rapid global phase-out of emissions and invest in</w:t>
      </w:r>
      <w:r>
        <w:rPr>
          <w:bCs/>
          <w:b/>
        </w:rPr>
        <w:t xml:space="preserve"> </w:t>
      </w:r>
      <w:r>
        <w:rPr>
          <w:bCs/>
          <w:b/>
        </w:rPr>
        <w:t xml:space="preserve">adaptation now.</w:t>
      </w:r>
    </w:p>
    <w:bookmarkStart w:id="20" w:name="Xd6926cfe6af129f79ad24aeee32dcebba184937"/>
    <w:p>
      <w:pPr>
        <w:pStyle w:val="Heading1"/>
      </w:pPr>
      <w:r>
        <w:t xml:space="preserve">1. Why Niger is unusually exposed, and not responsible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 open-air economy.</w:t>
      </w:r>
      <w:r>
        <w:t xml:space="preserve"> </w:t>
      </w:r>
      <w:r>
        <w:t xml:space="preserve">Agriculture and livestock account for almost 40 % of GDP and over</w:t>
      </w:r>
      <w:r>
        <w:t xml:space="preserve"> </w:t>
      </w:r>
      <w:r>
        <w:t xml:space="preserve">80 % of jobs, and depend overwhelmingly on rainfall (World Bank, 2024).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Shocks are already frequent and costly.</w:t>
      </w:r>
      <w:r>
        <w:t xml:space="preserve"> </w:t>
      </w:r>
      <w:r>
        <w:t xml:space="preserve">The 2005 and 2010 droughts triggered national food</w:t>
      </w:r>
      <w:r>
        <w:t xml:space="preserve"> </w:t>
      </w:r>
      <w:r>
        <w:t xml:space="preserve">crises; the 2024 floods killed 339 people and affected more than 1.1 million (AFP, 2024).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negligible contributor.</w:t>
      </w:r>
      <w:r>
        <w:t xml:space="preserve"> </w:t>
      </w:r>
      <w:r>
        <w:t xml:space="preserve">Niger emits a tiny share of global greenhouse gases: the losses</w:t>
      </w:r>
      <w:r>
        <w:t xml:space="preserve"> </w:t>
      </w:r>
      <w:r>
        <w:t xml:space="preserve">below are driven by others’ emissions, and can only be limited by others’ cuts.</w:t>
      </w:r>
    </w:p>
    <w:bookmarkEnd w:id="20"/>
    <w:bookmarkStart w:id="24" w:name="X68231dbfc8e23b70f9b124ce6074d57e95ee308"/>
    <w:p>
      <w:pPr>
        <w:pStyle w:val="Heading1"/>
      </w:pPr>
      <w:r>
        <w:t xml:space="preserve">2. Three priority impacts: below 2 °C versus current policies</w:t>
      </w:r>
    </w:p>
    <w:p>
      <w:pPr>
        <w:pStyle w:val="FirstParagraph"/>
      </w:pPr>
      <w:r>
        <w:rPr>
          <w:iCs/>
          <w:i/>
        </w:rPr>
        <w:t xml:space="preserve">Source: Climate Impact Explorer (CIE), Niger, annual, area-weighted average. NGFS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Below</w:t>
      </w:r>
      <w:r>
        <w:rPr>
          <w:iCs/>
          <w:i/>
        </w:rPr>
        <w:t xml:space="preserve"> </w:t>
      </w:r>
      <w:r>
        <w:rPr>
          <w:iCs/>
          <w:i/>
        </w:rPr>
        <w:t xml:space="preserve">2 °C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(1.6 °C of global warming in 2100) versus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Current policies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(2.9 °C). Median of five</w:t>
      </w:r>
      <w:r>
        <w:rPr>
          <w:iCs/>
          <w:i/>
        </w:rPr>
        <w:t xml:space="preserve"> </w:t>
      </w:r>
      <w:r>
        <w:rPr>
          <w:iCs/>
          <w:i/>
        </w:rPr>
        <w:t xml:space="preserve">climate models, 5–95 % range in brackets; the CIE flags results after 2060 as indicative.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644"/>
        <w:gridCol w:w="907"/>
        <w:gridCol w:w="1304"/>
        <w:gridCol w:w="1304"/>
        <w:gridCol w:w="4592"/>
      </w:tblGrid>
      <w:tr>
        <w:trPr>
          <w:tblHeader w:val="true"/>
        </w:trPr>
        <w:tc>
          <w:tcPr>
            <w:tcW w:type="dxa" w:w="164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Impact (CIE indicator)</w:t>
            </w:r>
          </w:p>
        </w:tc>
        <w:tc>
          <w:tcPr>
            <w:tcW w:type="dxa" w:w="90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Today (2020)</w:t>
            </w:r>
          </w:p>
        </w:tc>
        <w:tc>
          <w:tcPr>
            <w:tcW w:type="dxa" w:w="130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Below 2 °C</w:t>
            </w:r>
          </w:p>
        </w:tc>
        <w:tc>
          <w:tcPr>
            <w:tcW w:type="dxa" w:w="130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Current policies</w:t>
            </w:r>
          </w:p>
        </w:tc>
        <w:tc>
          <w:tcPr>
            <w:tcW w:type="dxa" w:w="4592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Why it matters for Niger</w:t>
            </w:r>
          </w:p>
        </w:tc>
      </w:tr>
      <w:tr>
        <w:tc>
          <w:tcPr>
            <w:tcW w:type="dxa" w:w="164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1. Dangerous heat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Days per year with heat index above 40 °C</w:t>
            </w:r>
          </w:p>
        </w:tc>
        <w:tc>
          <w:tcPr>
            <w:tcW w:type="dxa" w:w="907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31 days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[25–38]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45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[33–69]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42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[29–72]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54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[41–84]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91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[59–134]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Above this threshold, sustained outdoor work risks heat exhaustion and heat stroke, and most Nigeriens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farm, herd or build outdoors without cooling. CIE maps show a rise about twice as large in the populated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south as in the north (+44 versus +21 days at 2 °C compared with 1 °C of global warming). WASCAL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researchers project heat discomfort for over half of West Africa’s population even at 1.5–2 °C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(Sylla et al., 2018).</w:t>
            </w:r>
          </w:p>
        </w:tc>
      </w:tr>
      <w:tr>
        <w:tc>
          <w:tcPr>
            <w:tcW w:type="dxa" w:w="164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2. Severe drought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Share of land with at least one month of SPEI</w:t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below −1.5 (%)</w:t>
            </w:r>
          </w:p>
        </w:tc>
        <w:tc>
          <w:tcPr>
            <w:tcW w:type="dxa" w:w="907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84 %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[72–97]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98 %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[85–100]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98 %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[81–100]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≈100 %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[96–100]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100 %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[98–100]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SPEI counts evaporation as well as rain, so it captures what heat does to soils, crops and pastures. By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2030, about 96 % of the country is affected in every scenario: severe drought months become the norm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whatever the world does. Only a 1.5 °C pathway brings this back down (87 % by 2100). WASCAL crop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modelling projects falling millet yields in most scenarios (Mohamed et al., 2025).</w:t>
            </w:r>
          </w:p>
        </w:tc>
      </w:tr>
      <w:tr>
        <w:tc>
          <w:tcPr>
            <w:tcW w:type="dxa" w:w="164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3. Extreme rainfall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Annual maximum 5-day precipitation, change from</w:t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 </w:t>
            </w:r>
            <w:r>
              <w:rPr>
                <w:iCs/>
                <w:rFonts w:ascii="Times New Roman" w:hAnsi="Times New Roman"/>
                <w:i/>
                <w:sz w:val="18"/>
              </w:rPr>
              <w:t xml:space="preserve">1995–2014 (%)</w:t>
            </w:r>
          </w:p>
        </w:tc>
        <w:tc>
          <w:tcPr>
            <w:tcW w:type="dxa" w:w="907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8"/>
              </w:rPr>
              <w:t xml:space="preserve">+8 %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[−7 to +29]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+18 %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[0 to +55]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+17 %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[−1 to +54]</w:t>
            </w:r>
          </w:p>
        </w:tc>
        <w:tc>
          <w:tcPr>
            <w:tcW w:type="dxa" w:w="1304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2050: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+24 %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[−1 to +67]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2100: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18"/>
              </w:rPr>
              <w:t xml:space="preserve">+43 %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 xml:space="preserve">[+5 to +110]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Heavier downpours on bare, crusted soils flood Niamey and the Niger River valley, where people,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infrastructure and irrigated rice are concentrated. Under current policies, even the low end of the model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range shows an increase by 2100. Extreme Sahelian storms have already tripled in frequency since 1982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(Taylor et al., 2017).</w:t>
            </w:r>
          </w:p>
        </w:tc>
      </w:tr>
    </w:tbl>
    <w:p>
      <w:pPr>
        <w:pStyle w:val="CaptionedFigure"/>
      </w:pPr>
      <w:r>
        <w:drawing>
          <wp:inline>
            <wp:extent cx="5334000" cy="248204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ie_fig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 Days of dangerous heat per year in Niger: the gap between the two curves is</w:t>
      </w:r>
      <w:r>
        <w:rPr>
          <w:bCs/>
          <w:b/>
        </w:rPr>
        <w:t xml:space="preserve"> </w:t>
      </w:r>
      <w:r>
        <w:rPr>
          <w:bCs/>
          <w:b/>
        </w:rPr>
        <w:t xml:space="preserve">what limiting warming saves.</w:t>
      </w:r>
      <w:r>
        <w:t xml:space="preserve"> </w:t>
      </w:r>
      <w:r>
        <w:t xml:space="preserve">The two paths are identical until about 2030, then diverge: by 2100, current</w:t>
      </w:r>
      <w:r>
        <w:t xml:space="preserve"> </w:t>
      </w:r>
      <w:r>
        <w:t xml:space="preserve">policies (blue) lead to about 91 days a year, against 42 below 2 °C (green) and 31 today. The shaded bands</w:t>
      </w:r>
      <w:r>
        <w:t xml:space="preserve"> </w:t>
      </w:r>
      <w:r>
        <w:t xml:space="preserve">(model uncertainty) overlap, but even the low end of the current-policies range (59 days) exceeds the central</w:t>
      </w:r>
      <w:r>
        <w:t xml:space="preserve"> </w:t>
      </w:r>
      <w:r>
        <w:t xml:space="preserve">below-2 °C estimate. Hatched area: results after 2060 are indicative. Source: Climate Impact Explorer,</w:t>
      </w:r>
      <w:r>
        <w:t xml:space="preserve"> </w:t>
      </w:r>
      <w:r>
        <w:t xml:space="preserve">Climate Analytics (ISIMIP data).</w:t>
      </w:r>
    </w:p>
    <w:bookmarkEnd w:id="24"/>
    <w:bookmarkStart w:id="25" w:name="Xfea160e7a0acdde38fb92e35e7c057650e1debf"/>
    <w:p>
      <w:pPr>
        <w:pStyle w:val="Heading1"/>
      </w:pPr>
      <w:r>
        <w:t xml:space="preserve">3. Implications for Niger’s national interest</w:t>
      </w:r>
    </w:p>
    <w:p>
      <w:pPr>
        <w:pStyle w:val="FirstParagraph"/>
      </w:pPr>
      <w:r>
        <w:rPr>
          <w:bCs/>
          <w:b/>
        </w:rPr>
        <w:t xml:space="preserve">Heat is the largest avoidable loss.</w:t>
      </w:r>
      <w:r>
        <w:t xml:space="preserve"> </w:t>
      </w:r>
      <w:r>
        <w:t xml:space="preserve">Moving from current policies to a below-2 °C world avoids</w:t>
      </w:r>
      <w:r>
        <w:t xml:space="preserve"> </w:t>
      </w:r>
      <w:r>
        <w:t xml:space="preserve">roughly 50 days of dangerous heat a year by 2100, nearly two months in which outdoor work, livestock and</w:t>
      </w:r>
      <w:r>
        <w:t xml:space="preserve"> </w:t>
      </w:r>
      <w:r>
        <w:t xml:space="preserve">health are at risk. The World Bank (2022) estimates that climate change could cut Niger’s annual GDP by</w:t>
      </w:r>
      <w:r>
        <w:t xml:space="preserve"> </w:t>
      </w:r>
      <w:r>
        <w:t xml:space="preserve">2.2 % (wet, optimistic scenario) to 11.9 % (dry, pessimistic scenario) by 2050, before counting migration</w:t>
      </w:r>
      <w:r>
        <w:t xml:space="preserve"> </w:t>
      </w:r>
      <w:r>
        <w:t xml:space="preserve">or conflict.</w:t>
      </w:r>
    </w:p>
    <w:p>
      <w:pPr>
        <w:pStyle w:val="BodyText"/>
      </w:pPr>
      <w:r>
        <w:rPr>
          <w:bCs/>
          <w:b/>
        </w:rPr>
        <w:t xml:space="preserve">Drought makes adaptation unavoidable in every scenario.</w:t>
      </w:r>
      <w:r>
        <w:t xml:space="preserve"> </w:t>
      </w:r>
      <w:r>
        <w:t xml:space="preserve">Since severe drought months spread to almost</w:t>
      </w:r>
      <w:r>
        <w:t xml:space="preserve"> </w:t>
      </w:r>
      <w:r>
        <w:t xml:space="preserve">the whole country by 2030 regardless of emissions, Niger cannot wait: drought-tolerant millet and sorghum,</w:t>
      </w:r>
      <w:r>
        <w:t xml:space="preserve"> </w:t>
      </w:r>
      <w:r>
        <w:t xml:space="preserve">water harvesting, early warning and protection of herders’ mobility are needed now. The risk is a cascade:</w:t>
      </w:r>
      <w:r>
        <w:t xml:space="preserve"> </w:t>
      </w:r>
      <w:r>
        <w:t xml:space="preserve">hot, dry year → failed harvests and pastures → higher grain prices and distress sales</w:t>
      </w:r>
      <w:r>
        <w:t xml:space="preserve"> </w:t>
      </w:r>
      <w:r>
        <w:t xml:space="preserve">of livestock → malnutrition, debt and farmer–herder tensions → emergency spending that</w:t>
      </w:r>
      <w:r>
        <w:t xml:space="preserve"> </w:t>
      </w:r>
      <w:r>
        <w:t xml:space="preserve">crowds out investment.</w:t>
      </w:r>
    </w:p>
    <w:p>
      <w:pPr>
        <w:pStyle w:val="BodyText"/>
      </w:pPr>
      <w:r>
        <w:rPr>
          <w:bCs/>
          <w:b/>
        </w:rPr>
        <w:t xml:space="preserve">Floods grow with every tenth of a degree.</w:t>
      </w:r>
      <w:r>
        <w:t xml:space="preserve"> </w:t>
      </w:r>
      <w:r>
        <w:t xml:space="preserve">Extreme rainfall keeps intensifying under current policies</w:t>
      </w:r>
      <w:r>
        <w:t xml:space="preserve"> </w:t>
      </w:r>
      <w:r>
        <w:t xml:space="preserve">(+43 % by 2100) but levels off below 2 °C (+17 %). Limiting warming directly reduces the flood risk</w:t>
      </w:r>
      <w:r>
        <w:t xml:space="preserve"> </w:t>
      </w:r>
      <w:r>
        <w:t xml:space="preserve">facing Niamey and the river valley.</w:t>
      </w:r>
    </w:p>
    <w:p>
      <w:pPr>
        <w:pStyle w:val="KeyBoxTitle"/>
      </w:pPr>
      <w:r>
        <w:rPr>
          <w:bCs/>
          <w:b/>
        </w:rPr>
        <w:t xml:space="preserve">Recommended negotiating position</w:t>
      </w:r>
    </w:p>
    <w:p>
      <w:pPr>
        <w:numPr>
          <w:ilvl w:val="0"/>
          <w:numId w:val="1002"/>
        </w:numPr>
        <w:pStyle w:val="KeyBox"/>
      </w:pPr>
      <w:r>
        <w:t xml:space="preserve">Defend the 1.5 °C goal: it is the only pathway that brings heat days back to today’s level</w:t>
      </w:r>
      <w:r>
        <w:t xml:space="preserve"> </w:t>
      </w:r>
      <w:r>
        <w:t xml:space="preserve">(32 by 2100) and reverses drought spread; press major emitters for NDCs consistent with a rapid</w:t>
      </w:r>
      <w:r>
        <w:t xml:space="preserve"> </w:t>
      </w:r>
      <w:r>
        <w:t xml:space="preserve">fossil-fuel phase-out.</w:t>
      </w:r>
    </w:p>
    <w:p>
      <w:pPr>
        <w:numPr>
          <w:ilvl w:val="0"/>
          <w:numId w:val="1002"/>
        </w:numPr>
        <w:pStyle w:val="KeyBox"/>
      </w:pPr>
      <w:r>
        <w:t xml:space="preserve">Tie Niger’s support to scaled-up, accessible adaptation finance for Least Developed Countries.</w:t>
      </w:r>
    </w:p>
    <w:p>
      <w:pPr>
        <w:numPr>
          <w:ilvl w:val="0"/>
          <w:numId w:val="1002"/>
        </w:numPr>
        <w:pStyle w:val="KeyBox"/>
      </w:pPr>
      <w:r>
        <w:t xml:space="preserve">Use the Loss and Damage Fund for droughts and floods, in coalition with the African Group and the</w:t>
      </w:r>
      <w:r>
        <w:t xml:space="preserve"> </w:t>
      </w:r>
      <w:r>
        <w:t xml:space="preserve">LDC group.</w:t>
      </w:r>
    </w:p>
    <w:bookmarkEnd w:id="25"/>
    <w:bookmarkStart w:id="26" w:name="what-the-evidence-does-and-does-not-say"/>
    <w:p>
      <w:pPr>
        <w:pStyle w:val="Heading1"/>
      </w:pPr>
      <w:r>
        <w:t xml:space="preserve">4. What the evidence does, and does not, say</w:t>
      </w:r>
    </w:p>
    <w:p>
      <w:pPr>
        <w:pStyle w:val="FirstParagraph"/>
      </w:pPr>
      <w:r>
        <w:t xml:space="preserve">The direction of change is robust for heat; the size is not: by 2100 under current policies, models span 59</w:t>
      </w:r>
      <w:r>
        <w:t xml:space="preserve"> </w:t>
      </w:r>
      <w:r>
        <w:t xml:space="preserve">to 134 dangerous-heat days. Heat-index values rely on an approximation of humidity during the hottest hour, a</w:t>
      </w:r>
      <w:r>
        <w:t xml:space="preserve"> </w:t>
      </w:r>
      <w:r>
        <w:t xml:space="preserve">limitation the tool itself notes. The drought indicator counts a single month of severe drought, so it</w:t>
      </w:r>
      <w:r>
        <w:t xml:space="preserve"> </w:t>
      </w:r>
      <w:r>
        <w:t xml:space="preserve">saturates and barely separates scenarios. For extreme rainfall, the ranges include no change under low warming</w:t>
      </w:r>
      <w:r>
        <w:t xml:space="preserve"> </w:t>
      </w:r>
      <w:r>
        <w:t xml:space="preserve">but not under current policies by 2100. The tool’s only crop indicators (maize, rice, soy) were set aside</w:t>
      </w:r>
      <w:r>
        <w:t xml:space="preserve"> </w:t>
      </w:r>
      <w:r>
        <w:t xml:space="preserve">because Niger’s staples, millet and sorghum, are not modelled. Finally, these are hazard projections, not</w:t>
      </w:r>
      <w:r>
        <w:t xml:space="preserve"> </w:t>
      </w:r>
      <w:r>
        <w:t xml:space="preserve">forecasts; Niger’s high social vulnerability means real impacts are likely to be larger.</w:t>
      </w:r>
    </w:p>
    <w:p>
      <w:r>
        <w:br w:type="page"/>
      </w:r>
    </w:p>
    <w:bookmarkEnd w:id="26"/>
    <w:bookmarkStart w:id="3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AFP (2024, 9 October). Niger ups flood toll to 339 dead, more than 1 million affected.</w:t>
      </w:r>
      <w:r>
        <w:t xml:space="preserve"> </w:t>
      </w:r>
      <w:r>
        <w:rPr>
          <w:iCs/>
          <w:i/>
        </w:rPr>
        <w:t xml:space="preserve">Inquirer.net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https://globalnation.inquirer.net/251812/niger-ups-flood-toll-to-339-dead-more-than-1-million-affected</w:t>
        </w:r>
      </w:hyperlink>
    </w:p>
    <w:p>
      <w:pPr>
        <w:pStyle w:val="BodyText"/>
      </w:pPr>
      <w:r>
        <w:t xml:space="preserve">Climate Analytics (2026).</w:t>
      </w:r>
      <w:r>
        <w:t xml:space="preserve"> </w:t>
      </w:r>
      <w:r>
        <w:rPr>
          <w:iCs/>
          <w:i/>
        </w:rPr>
        <w:t xml:space="preserve">Climate Impact Explorer</w:t>
      </w:r>
      <w:r>
        <w:t xml:space="preserve">: Niger. Indicators: days per year with</w:t>
      </w:r>
      <w:r>
        <w:t xml:space="preserve"> </w:t>
      </w:r>
      <w:r>
        <w:t xml:space="preserve">dangerous heat risk (HI &gt; 40 °C), area under severe drought (SPEI &lt; −1.5), annual maximum 5-day</w:t>
      </w:r>
      <w:r>
        <w:t xml:space="preserve"> </w:t>
      </w:r>
      <w:r>
        <w:t xml:space="preserve">precipitation; NGFS Below 2 °C, Current Policies and Net Zero 2050 scenarios; ISIMIP data.</w:t>
      </w:r>
      <w:r>
        <w:t xml:space="preserve"> </w:t>
      </w:r>
      <w:hyperlink r:id="rId28">
        <w:r>
          <w:rPr>
            <w:rStyle w:val="Hyperlink"/>
          </w:rPr>
          <w:t xml:space="preserve">https://climate-impact-explorer.climateanalytics.org</w:t>
        </w:r>
      </w:hyperlink>
      <w:r>
        <w:t xml:space="preserve"> </w:t>
      </w:r>
      <w:r>
        <w:t xml:space="preserve">(accessed 9 October 2026).</w:t>
      </w:r>
    </w:p>
    <w:p>
      <w:pPr>
        <w:pStyle w:val="BodyText"/>
      </w:pPr>
      <w:r>
        <w:t xml:space="preserve">Mohamed, A. M. L., Salack, S., Mkuhlani, S., Chemura, A., et al. (2025). Impact of climate change on</w:t>
      </w:r>
      <w:r>
        <w:t xml:space="preserve"> </w:t>
      </w:r>
      <w:r>
        <w:t xml:space="preserve">millet yield under different fertilization levels in three agroecological zones of Niger Republic.</w:t>
      </w:r>
      <w:r>
        <w:t xml:space="preserve"> </w:t>
      </w:r>
      <w:r>
        <w:rPr>
          <w:iCs/>
          <w:i/>
        </w:rPr>
        <w:t xml:space="preserve">PLOS ONE</w:t>
      </w:r>
      <w:r>
        <w:t xml:space="preserve">, 20(10), e0333963.</w:t>
      </w:r>
      <w:r>
        <w:t xml:space="preserve"> </w:t>
      </w:r>
      <w:hyperlink r:id="rId29">
        <w:r>
          <w:rPr>
            <w:rStyle w:val="Hyperlink"/>
          </w:rPr>
          <w:t xml:space="preserve">https://doi.org/10.1371/journal.pone.0333963</w:t>
        </w:r>
      </w:hyperlink>
    </w:p>
    <w:p>
      <w:pPr>
        <w:pStyle w:val="BodyText"/>
      </w:pPr>
      <w:r>
        <w:t xml:space="preserve">Sylla, M. B., Faye, A., Giorgi, F., Diedhiou, A., &amp; Kunstmann, H. (2018). Projected heat stress under</w:t>
      </w:r>
      <w:r>
        <w:t xml:space="preserve"> </w:t>
      </w:r>
      <w:r>
        <w:t xml:space="preserve">1.5 °C and 2 °C global warming scenarios creates unprecedented discomfort for humans in West</w:t>
      </w:r>
      <w:r>
        <w:t xml:space="preserve"> </w:t>
      </w:r>
      <w:r>
        <w:t xml:space="preserve">Africa.</w:t>
      </w:r>
      <w:r>
        <w:t xml:space="preserve"> </w:t>
      </w:r>
      <w:r>
        <w:rPr>
          <w:iCs/>
          <w:i/>
        </w:rPr>
        <w:t xml:space="preserve">Earth’s Future</w:t>
      </w:r>
      <w:r>
        <w:t xml:space="preserve">, 6(7), 1029–1044.</w:t>
      </w:r>
      <w:r>
        <w:t xml:space="preserve"> </w:t>
      </w:r>
      <w:hyperlink r:id="rId30">
        <w:r>
          <w:rPr>
            <w:rStyle w:val="Hyperlink"/>
          </w:rPr>
          <w:t xml:space="preserve">https://doi.org/10.1029/2018EF000873</w:t>
        </w:r>
      </w:hyperlink>
    </w:p>
    <w:p>
      <w:pPr>
        <w:pStyle w:val="BodyText"/>
      </w:pPr>
      <w:r>
        <w:t xml:space="preserve">Taylor, C. M., Belušić, D., Guichard, F., Parker, D. J., Vischel, T., Bock, O., Harris, P. P.,</w:t>
      </w:r>
      <w:r>
        <w:t xml:space="preserve"> </w:t>
      </w:r>
      <w:r>
        <w:t xml:space="preserve">Janicot, S., Klein, C., &amp; Panthou, G. (2017). Frequency of extreme Sahelian storms tripled since 1982 in</w:t>
      </w:r>
      <w:r>
        <w:t xml:space="preserve"> </w:t>
      </w:r>
      <w:r>
        <w:t xml:space="preserve">satellite observations.</w:t>
      </w:r>
      <w:r>
        <w:t xml:space="preserve"> </w:t>
      </w:r>
      <w:r>
        <w:rPr>
          <w:iCs/>
          <w:i/>
        </w:rPr>
        <w:t xml:space="preserve">Nature</w:t>
      </w:r>
      <w:r>
        <w:t xml:space="preserve">, 544, 475–478.</w:t>
      </w:r>
      <w:r>
        <w:t xml:space="preserve"> </w:t>
      </w:r>
      <w:hyperlink r:id="rId31">
        <w:r>
          <w:rPr>
            <w:rStyle w:val="Hyperlink"/>
          </w:rPr>
          <w:t xml:space="preserve">https://doi.org/10.1038/nature22069</w:t>
        </w:r>
      </w:hyperlink>
    </w:p>
    <w:p>
      <w:pPr>
        <w:pStyle w:val="BodyText"/>
      </w:pPr>
      <w:r>
        <w:t xml:space="preserve">World Bank (2022).</w:t>
      </w:r>
      <w:r>
        <w:t xml:space="preserve"> </w:t>
      </w:r>
      <w:r>
        <w:rPr>
          <w:iCs/>
          <w:i/>
        </w:rPr>
        <w:t xml:space="preserve">G5 Sahel Region Country Climate and Development Report</w:t>
      </w:r>
      <w:r>
        <w:t xml:space="preserve">. CCDR Series.</w:t>
      </w:r>
      <w:r>
        <w:t xml:space="preserve"> </w:t>
      </w:r>
      <w:r>
        <w:t xml:space="preserve">Washington, DC: World Bank.</w:t>
      </w:r>
      <w:r>
        <w:t xml:space="preserve"> </w:t>
      </w:r>
      <w:hyperlink r:id="rId32">
        <w:r>
          <w:rPr>
            <w:rStyle w:val="Hyperlink"/>
          </w:rPr>
          <w:t xml:space="preserve">http://hdl.handle.net/10986/37620</w:t>
        </w:r>
      </w:hyperlink>
    </w:p>
    <w:p>
      <w:pPr>
        <w:pStyle w:val="BodyText"/>
      </w:pPr>
      <w:r>
        <w:t xml:space="preserve">World Bank (2024, 28 June). The World Bank supports food security and climate resilience for households</w:t>
      </w:r>
      <w:r>
        <w:t xml:space="preserve"> </w:t>
      </w:r>
      <w:r>
        <w:t xml:space="preserve">in Niger [Press release].</w:t>
      </w:r>
      <w:r>
        <w:t xml:space="preserve"> </w:t>
      </w:r>
      <w:hyperlink r:id="rId33">
        <w:r>
          <w:rPr>
            <w:rStyle w:val="Hyperlink"/>
          </w:rPr>
          <w:t xml:space="preserve">https://www.worldbank.org/en/news/press-release/2024/07/01/the-world-bank-supports-food-security-and-climate-resilience-for-households-in-niger</w:t>
        </w:r>
      </w:hyperlink>
    </w:p>
    <w:bookmarkEnd w:id="34"/>
    <w:sectPr>
      <w:headerReference w:type="default" r:id="rId9"/>
      <w:footerReference w:type="default" r:id="rId10"/>
      <w:pgSz w:h="16838" w:w="11906"/>
      <w:pgMar w:top="1077" w:bottom="964" w:left="1077" w:right="107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2" w:val="right"/>
      </w:tabs>
      <w:pBdr>
        <w:bottom w:val="single" w:sz="6" w:space="1" w:color="000000"/>
      </w:pBdr>
    </w:pPr>
    <w:r/>
    <w:r>
      <w:rPr>
        <w:rFonts w:ascii="Times New Roman" w:hAnsi="Times New Roman"/>
        <w:b/>
        <w:sz w:val="19"/>
      </w:rPr>
      <w:t>Climate Solutions and Strategies | Policy memo</w:t>
    </w:r>
    <w:r>
      <w:rPr>
        <w:rFonts w:ascii="Times New Roman" w:hAnsi="Times New Roman"/>
        <w:sz w:val="19"/>
      </w:rPr>
      <w:tab/>
      <w:t>IMP-EGH | System Analysis |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styleId="BodyText" w:type="paragraph">
    <w:name w:val="Body Text"/>
    <w:basedOn w:val="Normal"/>
    <w:link w:val="BodyTextChar"/>
    <w:pPr>
      <w:spacing w:after="60" w:before="0" w:line="240" w:lineRule="auto"/>
    </w:pPr>
    <w:qFormat/>
    <w:rPr>
      <w:rFonts w:ascii="Times New Roman" w:cs="Times New Roman" w:eastAsia="Times New Roman" w:hAnsi="Times New Roman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="Times New Roman" w:cs="Times New Roman" w:eastAsia="Times New Roman" w:hAnsi="Times New Roman"/>
      <w:b/>
      <w:bCs/>
      <w:color w:val="000000"/>
      <w:sz w:val="25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 w:line="24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nswer" w:type="character">
    <w:name w:val="Answer"/>
    <w:rPr>
      <w:rFonts w:ascii="Times New Roman" w:hAnsi="Times New Roman"/>
      <w:b/>
      <w:color w:val="1E6B32"/>
    </w:rPr>
  </w:style>
  <w:style w:customStyle="1" w:styleId="KeyBox" w:type="paragraph">
    <w:name w:val="Key Box"/>
    <w:basedOn w:val="Normal"/>
    <w:pPr>
      <w:pBdr>
        <w:left w:color="000000" w:space="6" w:sz="18" w:val="single"/>
      </w:pBdr>
      <w:shd w:color="auto" w:fill="EFEFEF" w:val="clear"/>
      <w:spacing w:after="40"/>
      <w:ind w:left="170"/>
    </w:pPr>
    <w:rPr>
      <w:rFonts w:ascii="Times New Roman" w:cs="Times New Roman" w:eastAsia="Times New Roman" w:hAnsi="Times New Roman"/>
      <w:color w:val="000000"/>
      <w:sz w:val="21"/>
    </w:rPr>
  </w:style>
  <w:style w:customStyle="1" w:styleId="KeyBoxTitle" w:type="paragraph">
    <w:name w:val="Key Box Title"/>
    <w:basedOn w:val="Normal"/>
    <w:pPr>
      <w:pBdr>
        <w:left w:color="000000" w:space="6" w:sz="18" w:val="single"/>
      </w:pBdr>
      <w:shd w:color="auto" w:fill="E0E0E0" w:val="clear"/>
      <w:spacing w:after="40" w:before="160"/>
      <w:ind w:left="170"/>
    </w:pPr>
    <w:rPr>
      <w:rFonts w:ascii="Times New Roman" w:cs="Times New Roman" w:eastAsia="Times New Roman" w:hAnsi="Times New Roman"/>
      <w:b/>
      <w:color w:val="000000"/>
      <w:sz w:val="22"/>
    </w:rPr>
  </w:style>
  <w:style w:customStyle="1" w:styleId="Centered" w:type="paragraph">
    <w:name w:val="Centered"/>
    <w:basedOn w:val="Normal"/>
    <w:pPr>
      <w:spacing w:after="160"/>
      <w:jc w:val="center"/>
    </w:pPr>
    <w:rPr>
      <w:rFonts w:ascii="Times New Roman" w:cs="Times New Roman" w:eastAsia="Times New Roman" w:hAnsi="Times New Roman"/>
      <w:b w:val="0"/>
      <w:color w:val="000000"/>
      <w:sz w:val="30"/>
    </w:rPr>
  </w:style>
  <w:style w:customStyle="1" w:styleId="EndNote" w:type="paragraph">
    <w:name w:val="End Note"/>
    <w:basedOn w:val="Normal"/>
    <w:pPr>
      <w:spacing w:before="200"/>
      <w:jc w:val="center"/>
    </w:pPr>
    <w:rPr>
      <w:rFonts w:ascii="Times New Roman" w:cs="Times New Roman" w:eastAsia="Times New Roman" w:hAnsi="Times New Roman"/>
      <w:i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http://hdl.handle.net/10986/37620" TargetMode="External"/><Relationship Id="rId28" Type="http://schemas.openxmlformats.org/officeDocument/2006/relationships/hyperlink" Target="https://climate-impact-explorer.climateanalytics.org" TargetMode="External"/><Relationship Id="rId30" Type="http://schemas.openxmlformats.org/officeDocument/2006/relationships/hyperlink" Target="https://doi.org/10.1029/2018EF000873" TargetMode="External"/><Relationship Id="rId31" Type="http://schemas.openxmlformats.org/officeDocument/2006/relationships/hyperlink" Target="https://doi.org/10.1038/nature22069" TargetMode="External"/><Relationship Id="rId29" Type="http://schemas.openxmlformats.org/officeDocument/2006/relationships/hyperlink" Target="https://doi.org/10.1371/journal.pone.0333963" TargetMode="External"/><Relationship Id="rId27" Type="http://schemas.openxmlformats.org/officeDocument/2006/relationships/hyperlink" Target="https://globalnation.inquirer.net/251812/niger-ups-flood-toll-to-339-dead-more-than-1-million-affected" TargetMode="External"/><Relationship Id="rId33" Type="http://schemas.openxmlformats.org/officeDocument/2006/relationships/hyperlink" Target="https://www.worldbank.org/en/news/press-release/2024/07/01/the-world-bank-supports-food-security-and-climate-resilience-for-households-in-niger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://hdl.handle.net/10986/37620" TargetMode="External"/><Relationship Id="rId28" Type="http://schemas.openxmlformats.org/officeDocument/2006/relationships/hyperlink" Target="https://climate-impact-explorer.climateanalytics.org" TargetMode="External"/><Relationship Id="rId30" Type="http://schemas.openxmlformats.org/officeDocument/2006/relationships/hyperlink" Target="https://doi.org/10.1029/2018EF000873" TargetMode="External"/><Relationship Id="rId31" Type="http://schemas.openxmlformats.org/officeDocument/2006/relationships/hyperlink" Target="https://doi.org/10.1038/nature22069" TargetMode="External"/><Relationship Id="rId29" Type="http://schemas.openxmlformats.org/officeDocument/2006/relationships/hyperlink" Target="https://doi.org/10.1371/journal.pone.0333963" TargetMode="External"/><Relationship Id="rId27" Type="http://schemas.openxmlformats.org/officeDocument/2006/relationships/hyperlink" Target="https://globalnation.inquirer.net/251812/niger-ups-flood-toll-to-339-dead-more-than-1-million-affected" TargetMode="External"/><Relationship Id="rId33" Type="http://schemas.openxmlformats.org/officeDocument/2006/relationships/hyperlink" Target="https://www.worldbank.org/en/news/press-release/2024/07/01/the-world-bank-supports-food-security-and-climate-resilience-for-households-in-ni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Limiting Climate Change Matters for Niger | Policy memo</dc:title>
  <dc:creator>KOUAME Koffi Fidèle</dc:creator>
  <cp:keywords/>
  <dcterms:created xsi:type="dcterms:W3CDTF">2026-10-09T21:42:50Z</dcterms:created>
  <dcterms:modified xsi:type="dcterms:W3CDTF">2026-10-09T21:42:50Z</dcterms:modified>
  <dc:subject>Climate Solutions and Strategies, Assignment 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