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ed"/>
      </w:pPr>
      <w:r>
        <w:rPr>
          <w:bCs/>
          <w:b/>
        </w:rPr>
        <w:t xml:space="preserve">Policy Memo | Why Limiting Climate Change Matters for Niger</w:t>
      </w:r>
      <w:r>
        <w:br/>
      </w:r>
      <w:r>
        <w:t xml:space="preserve">Advice to the national delegation to the UNFCCC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</w:tblPr>
      <w:tblGrid>
        <w:gridCol w:w="4536"/>
        <w:gridCol w:w="4536"/>
      </w:tblGrid>
      <w:tr>
        <w:trPr>
          <w:tblHeader w:val="true"/>
        </w:trPr>
        <w:tc>
          <w:tcPr>
            <w:tcW w:type="dxa" w:w="4535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To: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Minister of Environment, Head of Niger’s UNFCCC delegation</w:t>
            </w:r>
          </w:p>
        </w:tc>
        <w:tc>
          <w:tcPr>
            <w:tcW w:type="dxa" w:w="4535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From: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KOUAME Koffi Fidèle, Climate Adviser</w:t>
            </w:r>
          </w:p>
        </w:tc>
      </w:tr>
      <w:tr>
        <w:tc>
          <w:tcPr>
            <w:tcW w:type="dxa" w:w="4535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Date: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14 October 2026</w:t>
            </w:r>
          </w:p>
        </w:tc>
        <w:tc>
          <w:tcPr>
            <w:tcW w:type="dxa" w:w="4535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Subject: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What Niger stands to lose, and what it gains if warming is limited</w:t>
            </w:r>
          </w:p>
        </w:tc>
      </w:tr>
    </w:tbl>
    <w:p>
      <w:pPr>
        <w:pStyle w:val="KeyBoxTitle"/>
      </w:pPr>
      <w:r>
        <w:rPr>
          <w:bCs/>
          <w:b/>
        </w:rPr>
        <w:t xml:space="preserve">Key message</w:t>
      </w:r>
    </w:p>
    <w:p>
      <w:pPr>
        <w:pStyle w:val="KeyBox"/>
      </w:pPr>
      <w:r>
        <w:rPr>
          <w:bCs/>
          <w:b/>
        </w:rPr>
        <w:t xml:space="preserve">By 2100, current global policies would roughly triple the number of days on which heat becomes dangerous</w:t>
      </w:r>
      <w:r>
        <w:rPr>
          <w:bCs/>
          <w:b/>
        </w:rPr>
        <w:t xml:space="preserve"> </w:t>
      </w:r>
      <w:r>
        <w:rPr>
          <w:bCs/>
          <w:b/>
        </w:rPr>
        <w:t xml:space="preserve">in Niger, from about 31 a year today to 91; holding warming below 2 °C would cap it at about 42.</w:t>
      </w:r>
      <w:r>
        <w:t xml:space="preserve"> </w:t>
      </w:r>
      <w:r>
        <w:t xml:space="preserve">With more</w:t>
      </w:r>
      <w:r>
        <w:t xml:space="preserve"> </w:t>
      </w:r>
      <w:r>
        <w:t xml:space="preserve">than 80 % of Nigeriens working outdoors in farming and herding, this is the largest loss that global</w:t>
      </w:r>
      <w:r>
        <w:t xml:space="preserve"> </w:t>
      </w:r>
      <w:r>
        <w:t xml:space="preserve">mitigation can still prevent. The heaviest multi-day rains would also intensify far more under current</w:t>
      </w:r>
      <w:r>
        <w:t xml:space="preserve"> </w:t>
      </w:r>
      <w:r>
        <w:t xml:space="preserve">policies (+43 %) than below 2 °C (+17 %). Severe drought, by contrast, reaches almost the whole country</w:t>
      </w:r>
      <w:r>
        <w:t xml:space="preserve"> </w:t>
      </w:r>
      <w:r>
        <w:t xml:space="preserve">by 2030 in every scenario.</w:t>
      </w:r>
      <w:r>
        <w:t xml:space="preserve"> </w:t>
      </w:r>
      <w:r>
        <w:rPr>
          <w:bCs/>
          <w:b/>
        </w:rPr>
        <w:t xml:space="preserve">Niger’s national interest is therefore twofold: press for a rapid global</w:t>
      </w:r>
      <w:r>
        <w:rPr>
          <w:bCs/>
          <w:b/>
        </w:rPr>
        <w:t xml:space="preserve"> </w:t>
      </w:r>
      <w:r>
        <w:rPr>
          <w:bCs/>
          <w:b/>
        </w:rPr>
        <w:t xml:space="preserve">phase-out of emissions, and secure the finance to adapt now.</w:t>
      </w:r>
    </w:p>
    <w:bookmarkStart w:id="22" w:name="Xd80f144e15fb041c63977807bcfccac165ea994"/>
    <w:p>
      <w:pPr>
        <w:pStyle w:val="Heading1"/>
      </w:pPr>
      <w:r>
        <w:t xml:space="preserve">1. Why the stakes are unusually high for Niger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An economy that works in the open air.</w:t>
      </w:r>
      <w:r>
        <w:t xml:space="preserve"> </w:t>
      </w:r>
      <w:r>
        <w:t xml:space="preserve">Agriculture and livestock generate almost 40 % of GDP</w:t>
      </w:r>
      <w:r>
        <w:t xml:space="preserve"> </w:t>
      </w:r>
      <w:r>
        <w:t xml:space="preserve">and over 80 % of employment, and depend overwhelmingly on rainfall (</w:t>
      </w:r>
      <w:hyperlink r:id="rId20">
        <w:r>
          <w:rPr>
            <w:rStyle w:val="Hyperlink"/>
          </w:rPr>
          <w:t xml:space="preserve">World Bank, 2024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Shocks that are already frequent and deadly.</w:t>
      </w:r>
      <w:r>
        <w:t xml:space="preserve"> </w:t>
      </w:r>
      <w:r>
        <w:t xml:space="preserve">The 2005 and 2010 droughts triggered national</w:t>
      </w:r>
      <w:r>
        <w:t xml:space="preserve"> </w:t>
      </w:r>
      <w:r>
        <w:t xml:space="preserve">food crises; the 2024 floods killed 339 people and affected more than 1.1 million (</w:t>
      </w:r>
      <w:hyperlink r:id="rId21">
        <w:r>
          <w:rPr>
            <w:rStyle w:val="Hyperlink"/>
          </w:rPr>
          <w:t xml:space="preserve">AFP, 2024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Exposure without responsibility.</w:t>
      </w:r>
      <w:r>
        <w:t xml:space="preserve"> </w:t>
      </w:r>
      <w:r>
        <w:t xml:space="preserve">Niger emits a negligible share of global greenhouse gases.</w:t>
      </w:r>
      <w:r>
        <w:t xml:space="preserve"> </w:t>
      </w:r>
      <w:r>
        <w:t xml:space="preserve">The losses described below are driven by other countries’ emissions and can only be limited by their cuts.</w:t>
      </w:r>
    </w:p>
    <w:bookmarkEnd w:id="22"/>
    <w:bookmarkStart w:id="30" w:name="X39e5cabf790fdd760c8b76197e70039a91d430d"/>
    <w:p>
      <w:pPr>
        <w:pStyle w:val="Heading1"/>
      </w:pPr>
      <w:r>
        <w:t xml:space="preserve">2. Three priority impacts, compared across scenarios</w:t>
      </w:r>
    </w:p>
    <w:p>
      <w:pPr>
        <w:pStyle w:val="FirstParagraph"/>
        <w:spacing w:line="240" w:lineRule="auto"/>
      </w:pPr>
      <w:r>
        <w:rPr>
          <w:iCs/>
          <w:i/>
          <w:sz w:val="20"/>
        </w:rPr>
        <w:t xml:space="preserve">Source:</w:t>
      </w:r>
      <w:r>
        <w:rPr>
          <w:iCs/>
          <w:i/>
          <w:sz w:val="20"/>
        </w:rPr>
        <w:t xml:space="preserve"> </w:t>
      </w:r>
      <w:hyperlink r:id="rId23">
        <w:r>
          <w:rPr>
            <w:rStyle w:val="Hyperlink"/>
            <w:iCs/>
            <w:i/>
          </w:rPr>
          <w:t xml:space="preserve">Climate Impact Explorer</w:t>
        </w:r>
      </w:hyperlink>
      <w:r>
        <w:rPr>
          <w:iCs/>
          <w:i/>
          <w:sz w:val="20"/>
        </w:rPr>
        <w:t xml:space="preserve"> </w:t>
      </w:r>
      <w:r>
        <w:rPr>
          <w:iCs/>
          <w:i/>
          <w:sz w:val="20"/>
        </w:rPr>
        <w:t xml:space="preserve">(Climate Analytics), Niger, annual values, area-weighted average. NGFS</w:t>
      </w:r>
      <w:r>
        <w:rPr>
          <w:iCs/>
          <w:i/>
          <w:sz w:val="20"/>
        </w:rPr>
        <w:t xml:space="preserve"> </w:t>
      </w:r>
      <w:r>
        <w:rPr>
          <w:iCs/>
          <w:i/>
          <w:sz w:val="20"/>
        </w:rPr>
        <w:t xml:space="preserve">“</w:t>
      </w:r>
      <w:r>
        <w:rPr>
          <w:iCs/>
          <w:i/>
          <w:sz w:val="20"/>
        </w:rPr>
        <w:t xml:space="preserve">Below 2 °C</w:t>
      </w:r>
      <w:r>
        <w:rPr>
          <w:iCs/>
          <w:i/>
          <w:sz w:val="20"/>
        </w:rPr>
        <w:t xml:space="preserve">”</w:t>
      </w:r>
      <w:r>
        <w:rPr>
          <w:iCs/>
          <w:i/>
          <w:sz w:val="20"/>
        </w:rPr>
        <w:t xml:space="preserve"> </w:t>
      </w:r>
      <w:r>
        <w:rPr>
          <w:iCs/>
          <w:i/>
          <w:sz w:val="20"/>
        </w:rPr>
        <w:t xml:space="preserve">scenario (1.6 °C of global warming in 2100) versus</w:t>
      </w:r>
      <w:r>
        <w:rPr>
          <w:iCs/>
          <w:i/>
          <w:sz w:val="20"/>
        </w:rPr>
        <w:t xml:space="preserve"> </w:t>
      </w:r>
      <w:r>
        <w:rPr>
          <w:iCs/>
          <w:i/>
          <w:sz w:val="20"/>
        </w:rPr>
        <w:t xml:space="preserve">“</w:t>
      </w:r>
      <w:r>
        <w:rPr>
          <w:iCs/>
          <w:i/>
          <w:sz w:val="20"/>
        </w:rPr>
        <w:t xml:space="preserve">Current policies</w:t>
      </w:r>
      <w:r>
        <w:rPr>
          <w:iCs/>
          <w:i/>
          <w:sz w:val="20"/>
        </w:rPr>
        <w:t xml:space="preserve">”</w:t>
      </w:r>
      <w:r>
        <w:rPr>
          <w:iCs/>
          <w:i/>
          <w:sz w:val="20"/>
        </w:rPr>
        <w:t xml:space="preserve"> </w:t>
      </w:r>
      <w:r>
        <w:rPr>
          <w:iCs/>
          <w:i/>
          <w:sz w:val="20"/>
        </w:rPr>
        <w:t xml:space="preserve">(2.9 °C). Median</w:t>
      </w:r>
      <w:r>
        <w:rPr>
          <w:iCs/>
          <w:i/>
          <w:sz w:val="20"/>
        </w:rPr>
        <w:t xml:space="preserve"> </w:t>
      </w:r>
      <w:r>
        <w:rPr>
          <w:iCs/>
          <w:i/>
          <w:sz w:val="20"/>
        </w:rPr>
        <w:t xml:space="preserve">of five climate models, with the 5–95 % model range in brackets; the tool flags results after 2060 as</w:t>
      </w:r>
      <w:r>
        <w:rPr>
          <w:iCs/>
          <w:i/>
          <w:sz w:val="20"/>
        </w:rPr>
        <w:t xml:space="preserve"> </w:t>
      </w:r>
      <w:r>
        <w:rPr>
          <w:iCs/>
          <w:i/>
          <w:sz w:val="20"/>
        </w:rPr>
        <w:t xml:space="preserve">indicative.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12" w:color="000000"/>
          <w:bottom w:val="single" w:sz="12" w:color="000000"/>
          <w:left w:val="nil"/>
          <w:right w:val="nil"/>
          <w:insideH w:val="nil"/>
          <w:insideV w:val="nil"/>
        </w:tblBorders>
        <w:tblLayout w:type="fixed"/>
      </w:tblPr>
      <w:tblGrid>
        <w:gridCol w:w="1360"/>
        <w:gridCol w:w="793"/>
        <w:gridCol w:w="1332"/>
        <w:gridCol w:w="1332"/>
        <w:gridCol w:w="4252"/>
      </w:tblGrid>
      <w:tr>
        <w:trPr>
          <w:tblHeader w:val="true"/>
        </w:trPr>
        <w:tc>
          <w:tcPr>
            <w:tcW w:type="dxa" w:w="1361"/>
            <w:tcBorders>
              <w:bottom w:val="single" w:sz="6" w:color="000000"/>
            </w:tcBorders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Impact (CIE indicator)</w:t>
            </w:r>
          </w:p>
        </w:tc>
        <w:tc>
          <w:tcPr>
            <w:tcW w:type="dxa" w:w="794"/>
            <w:tcBorders>
              <w:bottom w:val="single" w:sz="6" w:color="000000"/>
            </w:tcBorders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Today (2020)</w:t>
            </w:r>
          </w:p>
        </w:tc>
        <w:tc>
          <w:tcPr>
            <w:tcW w:type="dxa" w:w="1332"/>
            <w:tcBorders>
              <w:bottom w:val="single" w:sz="6" w:color="000000"/>
            </w:tcBorders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Below 2 °C</w:t>
            </w:r>
          </w:p>
        </w:tc>
        <w:tc>
          <w:tcPr>
            <w:tcW w:type="dxa" w:w="1332"/>
            <w:tcBorders>
              <w:bottom w:val="single" w:sz="6" w:color="000000"/>
            </w:tcBorders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Current policies</w:t>
            </w:r>
          </w:p>
        </w:tc>
        <w:tc>
          <w:tcPr>
            <w:tcW w:type="dxa" w:w="4252"/>
            <w:tcBorders>
              <w:bottom w:val="single" w:sz="6" w:color="000000"/>
            </w:tcBorders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Why it matters for Niger</w:t>
            </w:r>
          </w:p>
        </w:tc>
      </w:tr>
      <w:tr>
        <w:tc>
          <w:tcPr>
            <w:tcW w:type="dxa" w:w="1361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1. Dangerous heat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iCs/>
                <w:rFonts w:ascii="Times New Roman" w:hAnsi="Times New Roman"/>
                <w:i/>
                <w:sz w:val="20"/>
              </w:rPr>
              <w:t xml:space="preserve">Days per year with a heat index above 40 °C</w:t>
            </w:r>
          </w:p>
        </w:tc>
        <w:tc>
          <w:tcPr>
            <w:tcW w:type="dxa" w:w="794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31 days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[25–38]</w:t>
            </w:r>
          </w:p>
        </w:tc>
        <w:tc>
          <w:tcPr>
            <w:tcW w:type="dxa" w:w="1332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2050: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20"/>
              </w:rPr>
              <w:t xml:space="preserve">45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[33–69]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2100: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20"/>
              </w:rPr>
              <w:t xml:space="preserve">42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[29–72]</w:t>
            </w:r>
          </w:p>
        </w:tc>
        <w:tc>
          <w:tcPr>
            <w:tcW w:type="dxa" w:w="1332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2050: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20"/>
              </w:rPr>
              <w:t xml:space="preserve">54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[41–84]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2100: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20"/>
              </w:rPr>
              <w:t xml:space="preserve">91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[59–134]</w:t>
            </w:r>
          </w:p>
        </w:tc>
        <w:tc>
          <w:tcPr>
            <w:tcW w:type="dxa" w:w="4252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 xml:space="preserve">Beyond this threshold, sustained physical work exposes people to heat exhaustion and heat stroke, yet most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Nigeriens farm, herd or build outdoors with little access to cooling. The tool’s maps show the increase is about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twice as large in the densely populated south as in the north (+44 versus +21 days at 2 °C compared with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1 °C of global warming). WASCAL researchers already project heat discomfort for more than half of West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Africa’s population at 1.5–2 °C (</w:t>
            </w:r>
            <w:hyperlink r:id="rId24">
              <w:r>
                <w:rPr>
                  <w:rStyle w:val="Hyperlink"/>
                </w:rPr>
                <w:t xml:space="preserve">Sylla et al., 2018</w:t>
              </w:r>
            </w:hyperlink>
            <w:r>
              <w:rPr>
                <w:rFonts w:ascii="Times New Roman" w:hAnsi="Times New Roman"/>
                <w:sz w:val="20"/>
              </w:rPr>
              <w:t xml:space="preserve">).</w:t>
            </w:r>
          </w:p>
        </w:tc>
      </w:tr>
      <w:tr>
        <w:tc>
          <w:tcPr>
            <w:tcW w:type="dxa" w:w="1361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2. Severe drought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iCs/>
                <w:rFonts w:ascii="Times New Roman" w:hAnsi="Times New Roman"/>
                <w:i/>
                <w:sz w:val="20"/>
              </w:rPr>
              <w:t xml:space="preserve">Share of land with at least one month of SPEI</w:t>
            </w:r>
            <w:r>
              <w:rPr>
                <w:iCs/>
                <w:rFonts w:ascii="Times New Roman" w:hAnsi="Times New Roman"/>
                <w:i/>
                <w:sz w:val="20"/>
              </w:rPr>
              <w:t xml:space="preserve"> </w:t>
            </w:r>
            <w:r>
              <w:rPr>
                <w:iCs/>
                <w:rFonts w:ascii="Times New Roman" w:hAnsi="Times New Roman"/>
                <w:i/>
                <w:sz w:val="20"/>
              </w:rPr>
              <w:t xml:space="preserve">below −1.5 (%)</w:t>
            </w:r>
          </w:p>
        </w:tc>
        <w:tc>
          <w:tcPr>
            <w:tcW w:type="dxa" w:w="794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84 %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[72–97]</w:t>
            </w:r>
          </w:p>
        </w:tc>
        <w:tc>
          <w:tcPr>
            <w:tcW w:type="dxa" w:w="1332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2050: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20"/>
              </w:rPr>
              <w:t xml:space="preserve">98 %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[85–100]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2100: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20"/>
              </w:rPr>
              <w:t xml:space="preserve">98 %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[81–100]</w:t>
            </w:r>
          </w:p>
        </w:tc>
        <w:tc>
          <w:tcPr>
            <w:tcW w:type="dxa" w:w="1332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2050: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20"/>
              </w:rPr>
              <w:t xml:space="preserve">≈100 %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[96–100]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2100: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20"/>
              </w:rPr>
              <w:t xml:space="preserve">100 %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[98–100]</w:t>
            </w:r>
          </w:p>
        </w:tc>
        <w:tc>
          <w:tcPr>
            <w:tcW w:type="dxa" w:w="4252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 xml:space="preserve">Because SPEI accounts for evaporation as well as rainfall, it captures how heat dries out soils, crops and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pastures. Around 96 % of the country is affected by 2030 in every scenario, so severe drought months become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the norm whatever the world does; only a 1.5 °C pathway brings the share back down (87 % by 2100). WASCAL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crop modelling projects declining millet yields in most scenarios (</w:t>
            </w:r>
            <w:hyperlink r:id="rId25">
              <w:r>
                <w:rPr>
                  <w:rStyle w:val="Hyperlink"/>
                </w:rPr>
                <w:t xml:space="preserve">Mohamed et al., 2025</w:t>
              </w:r>
            </w:hyperlink>
            <w:r>
              <w:rPr>
                <w:rFonts w:ascii="Times New Roman" w:hAnsi="Times New Roman"/>
                <w:sz w:val="20"/>
              </w:rPr>
              <w:t xml:space="preserve">).</w:t>
            </w:r>
          </w:p>
        </w:tc>
      </w:tr>
      <w:tr>
        <w:tc>
          <w:tcPr>
            <w:tcW w:type="dxa" w:w="1361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3. Extreme rainfall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iCs/>
                <w:rFonts w:ascii="Times New Roman" w:hAnsi="Times New Roman"/>
                <w:i/>
                <w:sz w:val="20"/>
              </w:rPr>
              <w:t xml:space="preserve">Annual maximum 5-day precipitation, change from</w:t>
            </w:r>
            <w:r>
              <w:rPr>
                <w:iCs/>
                <w:rFonts w:ascii="Times New Roman" w:hAnsi="Times New Roman"/>
                <w:i/>
                <w:sz w:val="20"/>
              </w:rPr>
              <w:t xml:space="preserve"> </w:t>
            </w:r>
            <w:r>
              <w:rPr>
                <w:iCs/>
                <w:rFonts w:ascii="Times New Roman" w:hAnsi="Times New Roman"/>
                <w:i/>
                <w:sz w:val="20"/>
              </w:rPr>
              <w:t xml:space="preserve">1995–2014 (%)</w:t>
            </w:r>
          </w:p>
        </w:tc>
        <w:tc>
          <w:tcPr>
            <w:tcW w:type="dxa" w:w="794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+8 %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[−7 to +29]</w:t>
            </w:r>
          </w:p>
        </w:tc>
        <w:tc>
          <w:tcPr>
            <w:tcW w:type="dxa" w:w="1332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2050: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20"/>
              </w:rPr>
              <w:t xml:space="preserve">+18 %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[0 to +55]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2100: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20"/>
              </w:rPr>
              <w:t xml:space="preserve">+17 %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[−1 to +54]</w:t>
            </w:r>
          </w:p>
        </w:tc>
        <w:tc>
          <w:tcPr>
            <w:tcW w:type="dxa" w:w="1332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2050: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20"/>
              </w:rPr>
              <w:t xml:space="preserve">+24 %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[−1 to +67]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2100: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20"/>
              </w:rPr>
              <w:t xml:space="preserve">+43 %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[+5 to +110]</w:t>
            </w:r>
          </w:p>
        </w:tc>
        <w:tc>
          <w:tcPr>
            <w:tcW w:type="dxa" w:w="4252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 xml:space="preserve">Heavier downpours on bare, crusted soils produce the floods that strike Niamey and the Niger River valley, where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people, infrastructure and irrigated rice are concentrated. Under current policies, even the low end of the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model range shows an increase by 2100, and extreme Sahelian storms have already tripled in frequency since 1982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</w:t>
            </w:r>
            <w:hyperlink r:id="rId26">
              <w:r>
                <w:rPr>
                  <w:rStyle w:val="Hyperlink"/>
                </w:rPr>
                <w:t xml:space="preserve">Taylor et al., 2017</w:t>
              </w:r>
            </w:hyperlink>
            <w:r>
              <w:rPr>
                <w:rFonts w:ascii="Times New Roman" w:hAnsi="Times New Roman"/>
                <w:sz w:val="20"/>
              </w:rPr>
              <w:t xml:space="preserve">).</w:t>
            </w:r>
          </w:p>
        </w:tc>
      </w:tr>
    </w:tbl>
    <w:p>
      <w:pPr>
        <w:pStyle w:val="CaptionedFigure"/>
      </w:pPr>
      <w:r>
        <w:drawing>
          <wp:inline>
            <wp:extent cx="5334000" cy="248204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cie_figur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2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after="120"/>
        <w:jc w:val="both"/>
      </w:pPr>
      <w:r>
        <w:rPr>
          <w:bCs/>
          <w:b/>
        </w:rPr>
        <w:t xml:space="preserve">Figure 1. Days of dangerous heat per year in Niger: the gap between the two curves is</w:t>
      </w:r>
      <w:r>
        <w:rPr>
          <w:bCs/>
          <w:b/>
        </w:rPr>
        <w:t xml:space="preserve"> </w:t>
      </w:r>
      <w:r>
        <w:rPr>
          <w:bCs/>
          <w:b/>
        </w:rPr>
        <w:t xml:space="preserve">what limiting warming saves.</w:t>
      </w:r>
      <w:r>
        <w:t xml:space="preserve"> </w:t>
      </w:r>
      <w:r>
        <w:t xml:space="preserve">The two pathways are identical until about 2030 and then diverge. By 2100,</w:t>
      </w:r>
      <w:r>
        <w:t xml:space="preserve"> </w:t>
      </w:r>
      <w:r>
        <w:t xml:space="preserve">current policies (blue) lead to about 91 days a year, against 42 below 2 °C (green) and 31 today. The shaded</w:t>
      </w:r>
      <w:r>
        <w:t xml:space="preserve"> </w:t>
      </w:r>
      <w:r>
        <w:t xml:space="preserve">uncertainty bands overlap, yet even the low end of the current-policies range (59 days) exceeds the central</w:t>
      </w:r>
      <w:r>
        <w:t xml:space="preserve"> </w:t>
      </w:r>
      <w:r>
        <w:t xml:space="preserve">below-2 °C estimate. Hatched area: results after 2060 are indicative. Source:</w:t>
      </w:r>
      <w:r>
        <w:t xml:space="preserve"> </w:t>
      </w:r>
      <w:hyperlink r:id="rId23">
        <w:r>
          <w:rPr>
            <w:rStyle w:val="Hyperlink"/>
          </w:rPr>
          <w:t xml:space="preserve">Climate Impact Explorer</w:t>
        </w:r>
      </w:hyperlink>
      <w:r>
        <w:t xml:space="preserve">, Climate Analytics</w:t>
      </w:r>
      <w:r>
        <w:t xml:space="preserve"> </w:t>
      </w:r>
      <w:r>
        <w:t xml:space="preserve">(ISIMIP data).</w:t>
      </w:r>
    </w:p>
    <w:bookmarkEnd w:id="30"/>
    <w:bookmarkStart w:id="32" w:name="Xffbbd2a5976d1f58f4ba17879975b42208e7042"/>
    <w:p>
      <w:pPr>
        <w:pStyle w:val="Heading1"/>
      </w:pPr>
      <w:r>
        <w:t xml:space="preserve">3. What limiting warming would change for Niger</w:t>
      </w:r>
    </w:p>
    <w:p>
      <w:pPr>
        <w:pStyle w:val="FirstParagraph"/>
      </w:pPr>
      <w:r>
        <w:rPr>
          <w:bCs/>
          <w:b/>
        </w:rPr>
        <w:t xml:space="preserve">The gains are large and concentrated where people live.</w:t>
      </w:r>
      <w:r>
        <w:t xml:space="preserve"> </w:t>
      </w:r>
      <w:r>
        <w:t xml:space="preserve">Compared with current policies, a</w:t>
      </w:r>
      <w:r>
        <w:t xml:space="preserve"> </w:t>
      </w:r>
      <w:r>
        <w:t xml:space="preserve">below-2 °C world would spare Niger about 49 days of dangerous heat a year by 2100, nearly two months in</w:t>
      </w:r>
      <w:r>
        <w:t xml:space="preserve"> </w:t>
      </w:r>
      <w:r>
        <w:t xml:space="preserve">which outdoor work, livestock and health are at risk, and would cut the intensification of extreme rainfall</w:t>
      </w:r>
      <w:r>
        <w:t xml:space="preserve"> </w:t>
      </w:r>
      <w:r>
        <w:t xml:space="preserve">from +43 % to +17 %. A 1.5 °C pathway would go further, holding dangerous-heat days near today’s level</w:t>
      </w:r>
      <w:r>
        <w:t xml:space="preserve"> </w:t>
      </w:r>
      <w:r>
        <w:t xml:space="preserve">(32 a year by 2100). The economic stakes are of the same order: climate change could reduce Niger’s annual GDP</w:t>
      </w:r>
      <w:r>
        <w:t xml:space="preserve"> </w:t>
      </w:r>
      <w:r>
        <w:t xml:space="preserve">by 2.2 % in a wet, optimistic scenario and by 11.9 % in a dry, pessimistic one by 2050, before counting</w:t>
      </w:r>
      <w:r>
        <w:t xml:space="preserve"> </w:t>
      </w:r>
      <w:r>
        <w:t xml:space="preserve">migration or conflict (</w:t>
      </w:r>
      <w:hyperlink r:id="rId31">
        <w:r>
          <w:rPr>
            <w:rStyle w:val="Hyperlink"/>
          </w:rPr>
          <w:t xml:space="preserve">World Bank, 2022</w:t>
        </w:r>
      </w:hyperlink>
      <w:r>
        <w:t xml:space="preserve">).</w:t>
      </w:r>
    </w:p>
    <w:p>
      <w:pPr>
        <w:pStyle w:val="BodyText"/>
      </w:pPr>
      <w:r>
        <w:rPr>
          <w:bCs/>
          <w:b/>
        </w:rPr>
        <w:t xml:space="preserve">Drought makes adaptation urgent in every scenario.</w:t>
      </w:r>
      <w:r>
        <w:t xml:space="preserve"> </w:t>
      </w:r>
      <w:r>
        <w:t xml:space="preserve">Because severe drought months spread to almost the</w:t>
      </w:r>
      <w:r>
        <w:t xml:space="preserve"> </w:t>
      </w:r>
      <w:r>
        <w:t xml:space="preserve">whole country by 2030 regardless of emissions, adaptation cannot wait for the outcome of negotiations:</w:t>
      </w:r>
      <w:r>
        <w:t xml:space="preserve"> </w:t>
      </w:r>
      <w:r>
        <w:t xml:space="preserve">drought-tolerant millet and sorghum, water harvesting, early warning and the protection of herders’ mobility</w:t>
      </w:r>
      <w:r>
        <w:t xml:space="preserve"> </w:t>
      </w:r>
      <w:r>
        <w:t xml:space="preserve">are needed now. The danger lies in a cascade rather than a single number: a hot, dry year → failed</w:t>
      </w:r>
      <w:r>
        <w:t xml:space="preserve"> </w:t>
      </w:r>
      <w:r>
        <w:t xml:space="preserve">harvests and pastures → higher grain prices and distress sales of livestock →</w:t>
      </w:r>
      <w:r>
        <w:t xml:space="preserve"> </w:t>
      </w:r>
      <w:r>
        <w:t xml:space="preserve">malnutrition, household debt and farmer–herder tensions → emergency spending that crowds out</w:t>
      </w:r>
      <w:r>
        <w:t xml:space="preserve"> </w:t>
      </w:r>
      <w:r>
        <w:t xml:space="preserve">investment. Every tenth of a degree avoided makes such years rarer and the adaptation bill smaller.</w:t>
      </w:r>
    </w:p>
    <w:p>
      <w:pPr>
        <w:pStyle w:val="KeyBoxTitle"/>
      </w:pPr>
      <w:r>
        <w:rPr>
          <w:bCs/>
          <w:b/>
        </w:rPr>
        <w:t xml:space="preserve">Recommended negotiating position</w:t>
      </w:r>
    </w:p>
    <w:p>
      <w:pPr>
        <w:numPr>
          <w:ilvl w:val="0"/>
          <w:numId w:val="1002"/>
        </w:numPr>
        <w:pStyle w:val="KeyBox"/>
      </w:pPr>
      <w:r>
        <w:t xml:space="preserve">Defend the 1.5 °C goal, the only pathway that keeps dangerous heat near today’s level and reverses</w:t>
      </w:r>
      <w:r>
        <w:t xml:space="preserve"> </w:t>
      </w:r>
      <w:r>
        <w:t xml:space="preserve">the spread of drought, and press major emitters for NDCs consistent with a rapid fossil-fuel phase-out.</w:t>
      </w:r>
    </w:p>
    <w:p>
      <w:pPr>
        <w:numPr>
          <w:ilvl w:val="0"/>
          <w:numId w:val="1002"/>
        </w:numPr>
        <w:pStyle w:val="KeyBox"/>
      </w:pPr>
      <w:r>
        <w:t xml:space="preserve">Link Niger’s support for any agreement to scaled-up adaptation finance with simplified access for Least</w:t>
      </w:r>
      <w:r>
        <w:t xml:space="preserve"> </w:t>
      </w:r>
      <w:r>
        <w:t xml:space="preserve">Developed Countries.</w:t>
      </w:r>
    </w:p>
    <w:p>
      <w:pPr>
        <w:numPr>
          <w:ilvl w:val="0"/>
          <w:numId w:val="1002"/>
        </w:numPr>
        <w:pStyle w:val="KeyBox"/>
      </w:pPr>
      <w:r>
        <w:t xml:space="preserve">Use the Loss and Damage Fund for droughts and floods, in coalition with the African Group of Negotiators</w:t>
      </w:r>
      <w:r>
        <w:t xml:space="preserve"> </w:t>
      </w:r>
      <w:r>
        <w:t xml:space="preserve">and the LDC Group.</w:t>
      </w:r>
    </w:p>
    <w:bookmarkEnd w:id="32"/>
    <w:bookmarkStart w:id="33" w:name="confidence-and-limits-of-the-evidence"/>
    <w:p>
      <w:pPr>
        <w:pStyle w:val="Heading1"/>
      </w:pPr>
      <w:r>
        <w:t xml:space="preserve">4. Confidence and limits of the evidence</w:t>
      </w:r>
    </w:p>
    <w:p>
      <w:pPr>
        <w:pStyle w:val="FirstParagraph"/>
      </w:pPr>
      <w:r>
        <w:t xml:space="preserve">The direction of change is robust for heat, but its size is uncertain: under current policies, models span 59 to</w:t>
      </w:r>
      <w:r>
        <w:t xml:space="preserve"> </w:t>
      </w:r>
      <w:r>
        <w:t xml:space="preserve">134 dangerous-heat days in 2100. The heat index relies on an approximation of humidity during the hottest hour,</w:t>
      </w:r>
      <w:r>
        <w:t xml:space="preserve"> </w:t>
      </w:r>
      <w:r>
        <w:t xml:space="preserve">a limitation the tool acknowledges. The drought indicator counts a single month of severe drought, so it</w:t>
      </w:r>
      <w:r>
        <w:t xml:space="preserve"> </w:t>
      </w:r>
      <w:r>
        <w:t xml:space="preserve">saturates and barely separates the scenarios. For extreme rainfall, the model range includes no change under</w:t>
      </w:r>
      <w:r>
        <w:t xml:space="preserve"> </w:t>
      </w:r>
      <w:r>
        <w:t xml:space="preserve">low warming but not under current policies by 2100. The tool’s crop indicators (maize, rice, soy) were</w:t>
      </w:r>
      <w:r>
        <w:t xml:space="preserve"> </w:t>
      </w:r>
      <w:r>
        <w:t xml:space="preserve">deliberately set aside because Niger’s staples, millet and sorghum, are not modelled. Finally, these figures</w:t>
      </w:r>
      <w:r>
        <w:t xml:space="preserve"> </w:t>
      </w:r>
      <w:r>
        <w:t xml:space="preserve">are hazard projections, not forecasts: given Niger’s high social vulnerability, real impacts are likely to be</w:t>
      </w:r>
      <w:r>
        <w:t xml:space="preserve"> </w:t>
      </w:r>
      <w:r>
        <w:t xml:space="preserve">larger.</w:t>
      </w:r>
    </w:p>
    <w:p>
      <w:r>
        <w:br w:type="page"/>
      </w:r>
    </w:p>
    <w:bookmarkEnd w:id="33"/>
    <w:bookmarkStart w:id="34" w:name="references"/>
    <w:p>
      <w:pPr>
        <w:pStyle w:val="Heading1"/>
      </w:pPr>
      <w:r>
        <w:t xml:space="preserve">References</w:t>
      </w:r>
    </w:p>
    <w:p>
      <w:pPr>
        <w:pStyle w:val="FirstParagraph"/>
        <w:spacing w:line="240" w:lineRule="auto" w:after="120"/>
        <w:jc w:val="left"/>
      </w:pPr>
      <w:r>
        <w:t xml:space="preserve">AFP (2024, 9 October). Niger ups flood toll to 339 dead, more than 1 million affected.</w:t>
      </w:r>
      <w:r>
        <w:t xml:space="preserve"> </w:t>
      </w:r>
      <w:r>
        <w:rPr>
          <w:iCs/>
          <w:i/>
        </w:rPr>
        <w:t xml:space="preserve">Inquirer.net</w:t>
      </w:r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https://globalnation.inquirer.net/251812/niger-ups-flood-toll-to-339-dead-more-than-1-million-affected</w:t>
        </w:r>
      </w:hyperlink>
    </w:p>
    <w:p>
      <w:pPr>
        <w:pStyle w:val="BodyText"/>
        <w:spacing w:line="240" w:lineRule="auto" w:after="120"/>
        <w:jc w:val="left"/>
      </w:pPr>
      <w:r>
        <w:t xml:space="preserve">Climate Analytics (2026).</w:t>
      </w:r>
      <w:r>
        <w:t xml:space="preserve"> </w:t>
      </w:r>
      <w:r>
        <w:rPr>
          <w:iCs/>
          <w:i/>
        </w:rPr>
        <w:t xml:space="preserve">Climate Impact Explorer</w:t>
      </w:r>
      <w:r>
        <w:t xml:space="preserve">: Niger. Indicators: days per year with</w:t>
      </w:r>
      <w:r>
        <w:t xml:space="preserve"> </w:t>
      </w:r>
      <w:r>
        <w:t xml:space="preserve">dangerous heat risk (HI &gt; 40 °C), area under severe drought (SPEI &lt; −1.5) and annual maximum 5-day</w:t>
      </w:r>
      <w:r>
        <w:t xml:space="preserve"> </w:t>
      </w:r>
      <w:r>
        <w:t xml:space="preserve">precipitation; NGFS Below 2 °C, Current Policies and Net Zero 2050 scenarios; ISIMIP data.</w:t>
      </w:r>
      <w:r>
        <w:t xml:space="preserve"> </w:t>
      </w:r>
      <w:hyperlink r:id="rId23">
        <w:r>
          <w:rPr>
            <w:rStyle w:val="Hyperlink"/>
          </w:rPr>
          <w:t xml:space="preserve">https://climate-impact-explorer.climateanalytics.org</w:t>
        </w:r>
      </w:hyperlink>
      <w:r>
        <w:t xml:space="preserve"> </w:t>
      </w:r>
      <w:r>
        <w:t xml:space="preserve">(accessed 9 October 2026).</w:t>
      </w:r>
    </w:p>
    <w:p>
      <w:pPr>
        <w:pStyle w:val="BodyText"/>
        <w:spacing w:line="240" w:lineRule="auto" w:after="120"/>
        <w:jc w:val="left"/>
      </w:pPr>
      <w:r>
        <w:t xml:space="preserve">Mohamed, A. M. L., Salack, S., Mkuhlani, S., Chemura, A., et al. (2025). Impact of climate change on</w:t>
      </w:r>
      <w:r>
        <w:t xml:space="preserve"> </w:t>
      </w:r>
      <w:r>
        <w:t xml:space="preserve">millet yield under different fertilization levels in three agroecological zones of Niger Republic.</w:t>
      </w:r>
      <w:r>
        <w:t xml:space="preserve"> </w:t>
      </w:r>
      <w:r>
        <w:rPr>
          <w:iCs/>
          <w:i/>
        </w:rPr>
        <w:t xml:space="preserve">PLOS ONE</w:t>
      </w:r>
      <w:r>
        <w:t xml:space="preserve">, 20(10), e0333963.</w:t>
      </w:r>
      <w:r>
        <w:t xml:space="preserve"> </w:t>
      </w:r>
      <w:hyperlink r:id="rId25">
        <w:r>
          <w:rPr>
            <w:rStyle w:val="Hyperlink"/>
          </w:rPr>
          <w:t xml:space="preserve">https://doi.org/10.1371/journal.pone.0333963</w:t>
        </w:r>
      </w:hyperlink>
    </w:p>
    <w:p>
      <w:pPr>
        <w:pStyle w:val="BodyText"/>
        <w:spacing w:line="240" w:lineRule="auto" w:after="120"/>
        <w:jc w:val="left"/>
      </w:pPr>
      <w:r>
        <w:t xml:space="preserve">Sylla, M. B., Faye, A., Giorgi, F., Diedhiou, A., &amp; Kunstmann, H. (2018). Projected heat stress under</w:t>
      </w:r>
      <w:r>
        <w:t xml:space="preserve"> </w:t>
      </w:r>
      <w:r>
        <w:t xml:space="preserve">1.5 °C and 2 °C global warming scenarios creates unprecedented discomfort for humans in West</w:t>
      </w:r>
      <w:r>
        <w:t xml:space="preserve"> </w:t>
      </w:r>
      <w:r>
        <w:t xml:space="preserve">Africa.</w:t>
      </w:r>
      <w:r>
        <w:t xml:space="preserve"> </w:t>
      </w:r>
      <w:r>
        <w:rPr>
          <w:iCs/>
          <w:i/>
        </w:rPr>
        <w:t xml:space="preserve">Earth’s Future</w:t>
      </w:r>
      <w:r>
        <w:t xml:space="preserve">, 6(7), 1029–1044.</w:t>
      </w:r>
      <w:r>
        <w:t xml:space="preserve"> </w:t>
      </w:r>
      <w:hyperlink r:id="rId24">
        <w:r>
          <w:rPr>
            <w:rStyle w:val="Hyperlink"/>
          </w:rPr>
          <w:t xml:space="preserve">https://doi.org/10.1029/2018EF000873</w:t>
        </w:r>
      </w:hyperlink>
    </w:p>
    <w:p>
      <w:pPr>
        <w:pStyle w:val="BodyText"/>
        <w:spacing w:line="240" w:lineRule="auto" w:after="120"/>
        <w:jc w:val="left"/>
      </w:pPr>
      <w:r>
        <w:t xml:space="preserve">Taylor, C. M., Belušić, D., Guichard, F., Parker, D. J., Vischel, T., Bock, O., Harris, P. P.,</w:t>
      </w:r>
      <w:r>
        <w:t xml:space="preserve"> </w:t>
      </w:r>
      <w:r>
        <w:t xml:space="preserve">Janicot, S., Klein, C., &amp; Panthou, G. (2017). Frequency of extreme Sahelian storms tripled since 1982 in</w:t>
      </w:r>
      <w:r>
        <w:t xml:space="preserve"> </w:t>
      </w:r>
      <w:r>
        <w:t xml:space="preserve">satellite observations.</w:t>
      </w:r>
      <w:r>
        <w:t xml:space="preserve"> </w:t>
      </w:r>
      <w:r>
        <w:rPr>
          <w:iCs/>
          <w:i/>
        </w:rPr>
        <w:t xml:space="preserve">Nature</w:t>
      </w:r>
      <w:r>
        <w:t xml:space="preserve">, 544, 475–478.</w:t>
      </w:r>
      <w:r>
        <w:t xml:space="preserve"> </w:t>
      </w:r>
      <w:hyperlink r:id="rId26">
        <w:r>
          <w:rPr>
            <w:rStyle w:val="Hyperlink"/>
          </w:rPr>
          <w:t xml:space="preserve">https://doi.org/10.1038/nature22069</w:t>
        </w:r>
      </w:hyperlink>
    </w:p>
    <w:p>
      <w:pPr>
        <w:pStyle w:val="BodyText"/>
        <w:spacing w:line="240" w:lineRule="auto" w:after="120"/>
        <w:jc w:val="left"/>
      </w:pPr>
      <w:r>
        <w:t xml:space="preserve">World Bank (2022).</w:t>
      </w:r>
      <w:r>
        <w:t xml:space="preserve"> </w:t>
      </w:r>
      <w:r>
        <w:rPr>
          <w:iCs/>
          <w:i/>
        </w:rPr>
        <w:t xml:space="preserve">G5 Sahel Region Country Climate and Development Report</w:t>
      </w:r>
      <w:r>
        <w:t xml:space="preserve">. CCDR Series.</w:t>
      </w:r>
      <w:r>
        <w:t xml:space="preserve"> </w:t>
      </w:r>
      <w:r>
        <w:t xml:space="preserve">Washington, DC: World Bank.</w:t>
      </w:r>
      <w:r>
        <w:t xml:space="preserve"> </w:t>
      </w:r>
      <w:hyperlink r:id="rId31">
        <w:r>
          <w:rPr>
            <w:rStyle w:val="Hyperlink"/>
          </w:rPr>
          <w:t xml:space="preserve">http://hdl.handle.net/10986/37620</w:t>
        </w:r>
      </w:hyperlink>
    </w:p>
    <w:p>
      <w:pPr>
        <w:pStyle w:val="BodyText"/>
        <w:spacing w:line="240" w:lineRule="auto" w:after="120"/>
        <w:jc w:val="left"/>
      </w:pPr>
      <w:r>
        <w:t xml:space="preserve">World Bank (2024, 28 June). The World Bank supports food security and climate resilience for households</w:t>
      </w:r>
      <w:r>
        <w:t xml:space="preserve"> </w:t>
      </w:r>
      <w:r>
        <w:t xml:space="preserve">in Niger [Press release].</w:t>
      </w:r>
      <w:r>
        <w:t xml:space="preserve"> </w:t>
      </w:r>
      <w:hyperlink r:id="rId20">
        <w:r>
          <w:rPr>
            <w:rStyle w:val="Hyperlink"/>
          </w:rPr>
          <w:t xml:space="preserve">https://www.worldbank.org/en/news/press-release/2024/07/01/the-world-bank-supports-food-security-and-climate-resilience-for-households-in-niger</w:t>
        </w:r>
      </w:hyperlink>
    </w:p>
    <w:bookmarkEnd w:id="34"/>
    <w:sectPr>
      <w:headerReference w:type="default" r:id="rId9"/>
      <w:footerReference w:type="default" r:id="rId10"/>
      <w:pgSz w:h="16838" w:w="11906"/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PAGE</w:instrText>
    </w:r>
    <w:r>
      <w:rPr>
        <w:rFonts w:ascii="Times New Roman" w:hAnsi="Times New Roman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072" w:val="right"/>
      </w:tabs>
      <w:pBdr>
        <w:bottom w:val="single" w:sz="6" w:space="1" w:color="000000"/>
      </w:pBdr>
    </w:pPr>
    <w:r/>
    <w:r>
      <w:rPr>
        <w:rFonts w:ascii="Times New Roman" w:hAnsi="Times New Roman"/>
        <w:b/>
        <w:sz w:val="19"/>
      </w:rPr>
      <w:t>Climate Solutions and Strategies | Assignment 1</w:t>
    </w:r>
    <w:r>
      <w:rPr>
        <w:rFonts w:ascii="Times New Roman" w:hAnsi="Times New Roman"/>
        <w:sz w:val="19"/>
      </w:rPr>
      <w:tab/>
      <w:t>Skill Up for Earth | Fall 2026 | KOUAME Koffi Fidèle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val="000000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b w:val="0"/>
      <w:color w:val="000000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 w:line="276" w:lineRule="auto"/>
      <w:outlineLvl w:val="0"/>
    </w:pPr>
    <w:rPr>
      <w:rFonts w:ascii="Times New Roman" w:cs="Times New Roman" w:eastAsia="Times New Roman" w:hAnsi="Times New Roman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 w:line="276" w:lineRule="auto"/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40" w:line="276" w:lineRule="auto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firstLine="0" w:left="480" w:right="480"/>
      <w:jc w:val="both"/>
    </w:pPr>
    <w:rPr>
      <w:rFonts w:ascii="Times New Roman" w:cs="Times New Roman" w:eastAsia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  <w:jc w:val="center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TableCaption" w:type="paragraph">
    <w:name w:val="Table Caption"/>
    <w:basedOn w:val="Caption"/>
    <w:pPr>
      <w:keepNext/>
      <w:jc w:val="center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ImageCaption" w:type="paragraph">
    <w:name w:val="Image Caption"/>
    <w:basedOn w:val="Caption"/>
    <w:pPr>
      <w:jc w:val="center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1F4E9A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nswer" w:type="character">
    <w:name w:val="Answer"/>
    <w:rPr>
      <w:rFonts w:ascii="Times New Roman" w:hAnsi="Times New Roman"/>
      <w:b/>
      <w:color w:val="1E6B32"/>
    </w:rPr>
  </w:style>
  <w:style w:customStyle="1" w:styleId="KeyBox" w:type="paragraph">
    <w:name w:val="Key Box"/>
    <w:basedOn w:val="Normal"/>
    <w:pPr>
      <w:spacing w:after="40" w:line="360" w:lineRule="auto"/>
      <w:ind w:left="170"/>
      <w:jc w:val="both"/>
      <w:pBdr>
        <w:left w:color="000000" w:space="6" w:sz="18" w:val="single"/>
      </w:pBdr>
      <w:shd w:color="auto" w:fill="EFEFEF" w:val="clear"/>
    </w:pPr>
    <w:rPr>
      <w:rFonts w:ascii="Times New Roman" w:cs="Times New Roman" w:eastAsia="Times New Roman" w:hAnsi="Times New Roman"/>
      <w:color w:val="000000"/>
      <w:sz w:val="24"/>
    </w:rPr>
  </w:style>
  <w:style w:customStyle="1" w:styleId="KeyBoxTitle" w:type="paragraph">
    <w:name w:val="Key Box Title"/>
    <w:basedOn w:val="Normal"/>
    <w:pPr>
      <w:pBdr>
        <w:left w:color="000000" w:space="6" w:sz="18" w:val="single"/>
      </w:pBdr>
      <w:shd w:color="auto" w:fill="E0E0E0" w:val="clear"/>
      <w:spacing w:after="40" w:before="160"/>
      <w:ind w:left="170"/>
    </w:pPr>
    <w:rPr>
      <w:rFonts w:ascii="Times New Roman" w:cs="Times New Roman" w:eastAsia="Times New Roman" w:hAnsi="Times New Roman"/>
      <w:b/>
      <w:color w:val="000000"/>
      <w:sz w:val="24"/>
    </w:rPr>
  </w:style>
  <w:style w:customStyle="1" w:styleId="Centered" w:type="paragraph">
    <w:name w:val="Centered"/>
    <w:basedOn w:val="Normal"/>
    <w:pPr>
      <w:spacing w:after="160"/>
      <w:jc w:val="center"/>
    </w:pPr>
    <w:rPr>
      <w:rFonts w:ascii="Times New Roman" w:cs="Times New Roman" w:eastAsia="Times New Roman" w:hAnsi="Times New Roman"/>
      <w:b w:val="0"/>
      <w:color w:val="000000"/>
      <w:sz w:val="30"/>
    </w:rPr>
  </w:style>
  <w:style w:customStyle="1" w:styleId="EndNote" w:type="paragraph">
    <w:name w:val="End Note"/>
    <w:basedOn w:val="Normal"/>
    <w:pPr>
      <w:spacing w:before="200"/>
      <w:jc w:val="center"/>
    </w:pPr>
    <w:rPr>
      <w:rFonts w:ascii="Times New Roman" w:cs="Times New Roman" w:eastAsia="Times New Roman" w:hAnsi="Times New Roman"/>
      <w:i/>
      <w:color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7" Type="http://schemas.openxmlformats.org/officeDocument/2006/relationships/image" Target="media/rId27.png"/><Relationship Id="rId31" Type="http://schemas.openxmlformats.org/officeDocument/2006/relationships/hyperlink" Target="http://hdl.handle.net/10986/37620" TargetMode="External"/><Relationship Id="rId23" Type="http://schemas.openxmlformats.org/officeDocument/2006/relationships/hyperlink" Target="https://climate-impact-explorer.climateanalytics.org" TargetMode="External"/><Relationship Id="rId24" Type="http://schemas.openxmlformats.org/officeDocument/2006/relationships/hyperlink" Target="https://doi.org/10.1029/2018EF000873" TargetMode="External"/><Relationship Id="rId26" Type="http://schemas.openxmlformats.org/officeDocument/2006/relationships/hyperlink" Target="https://doi.org/10.1038/nature22069" TargetMode="External"/><Relationship Id="rId25" Type="http://schemas.openxmlformats.org/officeDocument/2006/relationships/hyperlink" Target="https://doi.org/10.1371/journal.pone.0333963" TargetMode="External"/><Relationship Id="rId21" Type="http://schemas.openxmlformats.org/officeDocument/2006/relationships/hyperlink" Target="https://globalnation.inquirer.net/251812/niger-ups-flood-toll-to-339-dead-more-than-1-million-affected" TargetMode="External"/><Relationship Id="rId20" Type="http://schemas.openxmlformats.org/officeDocument/2006/relationships/hyperlink" Target="https://www.worldbank.org/en/news/press-release/2024/07/01/the-world-bank-supports-food-security-and-climate-resilience-for-households-in-niger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http://hdl.handle.net/10986/37620" TargetMode="External"/><Relationship Id="rId23" Type="http://schemas.openxmlformats.org/officeDocument/2006/relationships/hyperlink" Target="https://climate-impact-explorer.climateanalytics.org" TargetMode="External"/><Relationship Id="rId24" Type="http://schemas.openxmlformats.org/officeDocument/2006/relationships/hyperlink" Target="https://doi.org/10.1029/2018EF000873" TargetMode="External"/><Relationship Id="rId26" Type="http://schemas.openxmlformats.org/officeDocument/2006/relationships/hyperlink" Target="https://doi.org/10.1038/nature22069" TargetMode="External"/><Relationship Id="rId25" Type="http://schemas.openxmlformats.org/officeDocument/2006/relationships/hyperlink" Target="https://doi.org/10.1371/journal.pone.0333963" TargetMode="External"/><Relationship Id="rId21" Type="http://schemas.openxmlformats.org/officeDocument/2006/relationships/hyperlink" Target="https://globalnation.inquirer.net/251812/niger-ups-flood-toll-to-339-dead-more-than-1-million-affected" TargetMode="External"/><Relationship Id="rId20" Type="http://schemas.openxmlformats.org/officeDocument/2006/relationships/hyperlink" Target="https://www.worldbank.org/en/news/press-release/2024/07/01/the-world-bank-supports-food-security-and-climate-resilience-for-households-in-nig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Why Limiting Climate Change Matters for Niger | Policy memo</dc:title>
  <dc:creator>KOUAME Koffi Fidèle</dc:creator>
  <cp:keywords/>
  <dcterms:created xsi:type="dcterms:W3CDTF">2026-10-09T22:09:38Z</dcterms:created>
  <dcterms:modified xsi:type="dcterms:W3CDTF">2026-10-09T22:09:38Z</dcterms:modified>
  <dc:subject>Skill Up for Earth, Climate Solutions and Strategies, Assignment 1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