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Minister of Environment, Head of Niger’s UNFCCC delegation</w:t>
            </w:r>
          </w:p>
        </w:tc>
        <w:tc>
          <w:tcPr>
            <w:tcW w:type="dxa" w:w="4819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From: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KOUAME Koffi Fidèle, Climate Adviser</w:t>
            </w:r>
          </w:p>
        </w:tc>
      </w:tr>
      <w:tr>
        <w:tc>
          <w:tcPr>
            <w:tcW w:type="dxa" w:w="4819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Date: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14 October 2026</w:t>
            </w:r>
          </w:p>
        </w:tc>
        <w:tc>
          <w:tcPr>
            <w:tcW w:type="dxa" w:w="4819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Subject: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What Niger stands to lose, and gains if warming is limited</w:t>
            </w:r>
          </w:p>
        </w:tc>
      </w:tr>
    </w:tbl>
    <w:p>
      <w:pPr>
        <w:pStyle w:val="KeyBoxTitle"/>
      </w:pPr>
      <w:r>
        <w:rPr>
          <w:bCs/>
          <w:b/>
        </w:rPr>
        <w:t xml:space="preserve">Key message</w:t>
      </w:r>
    </w:p>
    <w:p>
      <w:pPr>
        <w:pStyle w:val="KeyBox"/>
      </w:pPr>
      <w:r>
        <w:rPr>
          <w:bCs/>
          <w:b/>
        </w:rPr>
        <w:t xml:space="preserve">Under current global policies, days of dangerous heat in Niger would triple by 2100, from about 31 a</w:t>
      </w:r>
      <w:r>
        <w:rPr>
          <w:bCs/>
          <w:b/>
        </w:rPr>
        <w:t xml:space="preserve"> </w:t>
      </w:r>
      <w:r>
        <w:rPr>
          <w:bCs/>
          <w:b/>
        </w:rPr>
        <w:t xml:space="preserve">year to 91; holding warming below 2 °C would cap them at about 42.</w:t>
      </w:r>
      <w:r>
        <w:t xml:space="preserve"> </w:t>
      </w:r>
      <w:r>
        <w:t xml:space="preserve">In a country where farming and herding</w:t>
      </w:r>
      <w:r>
        <w:t xml:space="preserve"> </w:t>
      </w:r>
      <w:r>
        <w:t xml:space="preserve">employ over 80 % of workers, mostly outdoors, this is the largest avoidable loss. Severe drought, however,</w:t>
      </w:r>
      <w:r>
        <w:t xml:space="preserve"> </w:t>
      </w:r>
      <w:r>
        <w:t xml:space="preserve">spreads to almost the whole territory by 2030 in every scenario:</w:t>
      </w:r>
      <w:r>
        <w:t xml:space="preserve"> </w:t>
      </w:r>
      <w:r>
        <w:rPr>
          <w:bCs/>
          <w:b/>
        </w:rPr>
        <w:t xml:space="preserve">Niger must press for a rapid global</w:t>
      </w:r>
      <w:r>
        <w:rPr>
          <w:bCs/>
          <w:b/>
        </w:rPr>
        <w:t xml:space="preserve"> </w:t>
      </w:r>
      <w:r>
        <w:rPr>
          <w:bCs/>
          <w:b/>
        </w:rPr>
        <w:t xml:space="preserve">phase-out of emissions and secure finance to adapt now.</w:t>
      </w:r>
    </w:p>
    <w:bookmarkStart w:id="22" w:name="why-the-stakes-are-high"/>
    <w:p>
      <w:pPr>
        <w:pStyle w:val="Heading1"/>
      </w:pPr>
      <w:r>
        <w:t xml:space="preserve">1. Why the stakes are high</w:t>
      </w:r>
    </w:p>
    <w:p>
      <w:pPr>
        <w:pStyle w:val="FirstParagraph"/>
      </w:pPr>
      <w:r>
        <w:t xml:space="preserve">Agriculture and livestock generate almost 40 % of GDP and depend overwhelmingly on rainfall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World Bank, 2024</w:t>
        </w:r>
      </w:hyperlink>
      <w:r>
        <w:t xml:space="preserve">). Shocks are already deadly: the 2024 floods killed 339 people and affected more than</w:t>
      </w:r>
      <w:r>
        <w:t xml:space="preserve"> </w:t>
      </w:r>
      <w:r>
        <w:t xml:space="preserve">1.1 million (</w:t>
      </w:r>
      <w:hyperlink r:id="rId21">
        <w:r>
          <w:rPr>
            <w:rStyle w:val="Hyperlink"/>
          </w:rPr>
          <w:t xml:space="preserve">AFP, 2024</w:t>
        </w:r>
      </w:hyperlink>
      <w:r>
        <w:t xml:space="preserve">). Yet Niger’s share of global emissions is negligible, so its losses can only be limited by</w:t>
      </w:r>
      <w:r>
        <w:t xml:space="preserve"> </w:t>
      </w:r>
      <w:r>
        <w:t xml:space="preserve">others’ cuts.</w:t>
      </w:r>
    </w:p>
    <w:bookmarkEnd w:id="22"/>
    <w:bookmarkStart w:id="30" w:name="Xbfc6f18dc7299200306a627d730de1d8c7a926a"/>
    <w:p>
      <w:pPr>
        <w:pStyle w:val="Heading1"/>
      </w:pPr>
      <w:r>
        <w:t xml:space="preserve">2. Three priority impacts in 2100: below 2 °C versus current policies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1701"/>
        <w:gridCol w:w="907"/>
        <w:gridCol w:w="1077"/>
        <w:gridCol w:w="1247"/>
        <w:gridCol w:w="4706"/>
      </w:tblGrid>
      <w:tr>
        <w:trPr>
          <w:tblHeader w:val="true"/>
        </w:trPr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Impact (CIE indicator)</w:t>
            </w:r>
          </w:p>
        </w:tc>
        <w:tc>
          <w:tcPr>
            <w:tcW w:type="dxa" w:w="907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Today (2020)</w:t>
            </w:r>
          </w:p>
        </w:tc>
        <w:tc>
          <w:tcPr>
            <w:tcW w:type="dxa" w:w="1077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Below 2 °C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Current policies</w:t>
            </w:r>
          </w:p>
        </w:tc>
        <w:tc>
          <w:tcPr>
            <w:tcW w:type="dxa" w:w="4706"/>
            <w:tcBorders>
              <w:bottom w:val="single" w:sz="6" w:color="000000"/>
            </w:tcBorders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Why it matters for Niger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Dangerous heat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Days/year, heat index &gt;40 °C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31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[25–38]</w:t>
            </w:r>
          </w:p>
        </w:tc>
        <w:tc>
          <w:tcPr>
            <w:tcW w:type="dxa" w:w="107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42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[29–72]</w:t>
            </w:r>
          </w:p>
        </w:tc>
        <w:tc>
          <w:tcPr>
            <w:tcW w:type="dxa" w:w="124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91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[59–134]</w:t>
            </w:r>
          </w:p>
        </w:tc>
        <w:tc>
          <w:tcPr>
            <w:tcW w:type="dxa" w:w="4706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Outdoor work becomes hazardous; the rise is twice as large in the populated south as in the north. WASCAL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researchers project heat discomfort for over half of West Africans at 1.5–2 °C (</w:t>
            </w:r>
            <w:hyperlink r:id="rId23">
              <w:r>
                <w:rPr>
                  <w:rStyle w:val="Hyperlink"/>
                </w:rPr>
                <w:t xml:space="preserve">Sylla et al., 2018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Severe drought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Land with ≥1 month of SPEI &lt; −1.5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84 %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[72–97]</w:t>
            </w:r>
          </w:p>
        </w:tc>
        <w:tc>
          <w:tcPr>
            <w:tcW w:type="dxa" w:w="107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98 %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[81–100]</w:t>
            </w:r>
          </w:p>
        </w:tc>
        <w:tc>
          <w:tcPr>
            <w:tcW w:type="dxa" w:w="124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100 %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[98–100]</w:t>
            </w:r>
          </w:p>
        </w:tc>
        <w:tc>
          <w:tcPr>
            <w:tcW w:type="dxa" w:w="4706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Heat dries soils and pastures: about 96 % of the land is affected by 2030 in every scenario. Millet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yields are projected to fall (</w:t>
            </w:r>
            <w:hyperlink r:id="rId24">
              <w:r>
                <w:rPr>
                  <w:rStyle w:val="Hyperlink"/>
                </w:rPr>
                <w:t xml:space="preserve">Mohamed et al., 2025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1701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Extreme rainfall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iCs/>
                <w:rFonts w:ascii="Times New Roman" w:hAnsi="Times New Roman"/>
                <w:i/>
                <w:sz w:val="20"/>
              </w:rPr>
              <w:t xml:space="preserve">Max. 5-day rain, change from 1995–2014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+8 %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[−7, +29]</w:t>
            </w:r>
          </w:p>
        </w:tc>
        <w:tc>
          <w:tcPr>
            <w:tcW w:type="dxa" w:w="107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+17 %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[−1, +54]</w:t>
            </w:r>
          </w:p>
        </w:tc>
        <w:tc>
          <w:tcPr>
            <w:tcW w:type="dxa" w:w="1247"/>
          </w:tcPr>
          <w:p>
            <w:pPr>
              <w:pStyle w:val="Compact"/>
              <w:spacing w:after="20" w:before="20" w:line="240" w:lineRule="auto"/>
              <w:jc w:val="center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+43 %</w:t>
            </w:r>
            <w:r>
              <w:rPr>
                <w:rFonts w:ascii="Times New Roman" w:hAnsi="Times New Roman"/>
                <w:sz w:val="20"/>
              </w:rPr>
              <w:br/>
            </w:r>
            <w:r>
              <w:rPr>
                <w:rFonts w:ascii="Times New Roman" w:hAnsi="Times New Roman"/>
                <w:sz w:val="20"/>
              </w:rPr>
              <w:t xml:space="preserve">[+5, +110]</w:t>
            </w:r>
          </w:p>
        </w:tc>
        <w:tc>
          <w:tcPr>
            <w:tcW w:type="dxa" w:w="4706"/>
          </w:tcPr>
          <w:p>
            <w:pPr>
              <w:pStyle w:val="Compact"/>
              <w:spacing w:after="20" w:before="20"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 xml:space="preserve">Floods hit Niamey and the river valley; extreme Sahelian storms have tripled since 1982 (</w:t>
            </w:r>
            <w:hyperlink r:id="rId25">
              <w:r>
                <w:rPr>
                  <w:rStyle w:val="Hyperlink"/>
                </w:rPr>
                <w:t xml:space="preserve">Taylor et al., 2017</w:t>
              </w:r>
            </w:hyperlink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</w:tbl>
    <w:p>
      <w:pPr>
        <w:pStyle w:val="BodyText"/>
        <w:spacing w:line="240" w:lineRule="auto"/>
      </w:pPr>
      <w:r>
        <w:rPr>
          <w:iCs/>
          <w:i/>
          <w:sz w:val="20"/>
        </w:rPr>
        <w:t xml:space="preserve">Source:</w:t>
      </w:r>
      <w:r>
        <w:rPr>
          <w:iCs/>
          <w:i/>
          <w:sz w:val="20"/>
        </w:rPr>
        <w:t xml:space="preserve"> </w:t>
      </w:r>
      <w:hyperlink r:id="rId26">
        <w:r>
          <w:rPr>
            <w:rStyle w:val="Hyperlink"/>
            <w:iCs/>
            <w:i/>
          </w:rPr>
          <w:t xml:space="preserve">Climate Impact Explorer</w:t>
        </w:r>
      </w:hyperlink>
      <w:r>
        <w:rPr>
          <w:iCs/>
          <w:i/>
          <w:sz w:val="20"/>
        </w:rPr>
        <w:t xml:space="preserve">, Niger, annual, area-weighted; NGFS scenarios (1.6 °C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and 2.9 °C of global warming in 2100). Median of five models, 5–95 % range in brackets; results after</w:t>
      </w:r>
      <w:r>
        <w:rPr>
          <w:iCs/>
          <w:i/>
          <w:sz w:val="20"/>
        </w:rPr>
        <w:t xml:space="preserve"> </w:t>
      </w:r>
      <w:r>
        <w:rPr>
          <w:iCs/>
          <w:i/>
          <w:sz w:val="20"/>
        </w:rPr>
        <w:t xml:space="preserve">2060 are indicative.</w:t>
      </w:r>
    </w:p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ie_fig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after="120"/>
        <w:jc w:val="both"/>
      </w:pPr>
      <w:r>
        <w:rPr>
          <w:bCs/>
          <w:b/>
        </w:rPr>
        <w:t xml:space="preserve">Figure 1. Days of dangerous heat per year in Niger: the gap between the curves is what limiting</w:t>
      </w:r>
      <w:r>
        <w:rPr>
          <w:bCs/>
          <w:b/>
        </w:rPr>
        <w:t xml:space="preserve"> </w:t>
      </w:r>
      <w:r>
        <w:rPr>
          <w:bCs/>
          <w:b/>
        </w:rPr>
        <w:t xml:space="preserve">warming saves.</w:t>
      </w:r>
      <w:r>
        <w:t xml:space="preserve"> </w:t>
      </w:r>
      <w:r>
        <w:t xml:space="preserve">The pathways diverge after 2030; even the low end of the current-policies range in 2100</w:t>
      </w:r>
      <w:r>
        <w:t xml:space="preserve"> </w:t>
      </w:r>
      <w:r>
        <w:t xml:space="preserve">(59 days) exceeds the central below-2 °C estimate (42). Source:</w:t>
      </w:r>
      <w:r>
        <w:t xml:space="preserve"> </w:t>
      </w:r>
      <w:hyperlink r:id="rId26">
        <w:r>
          <w:rPr>
            <w:rStyle w:val="Hyperlink"/>
          </w:rPr>
          <w:t xml:space="preserve">Climate Impact Explorer</w:t>
        </w:r>
      </w:hyperlink>
      <w:r>
        <w:t xml:space="preserve">, Climate Analytics.</w:t>
      </w:r>
    </w:p>
    <w:bookmarkEnd w:id="30"/>
    <w:bookmarkStart w:id="32" w:name="Xffbbd2a5976d1f58f4ba17879975b42208e7042"/>
    <w:p>
      <w:pPr>
        <w:pStyle w:val="Heading1"/>
      </w:pPr>
      <w:r>
        <w:t xml:space="preserve">3. What limiting warming would change for Niger</w:t>
      </w:r>
    </w:p>
    <w:p>
      <w:pPr>
        <w:pStyle w:val="FirstParagraph"/>
      </w:pPr>
      <w:r>
        <w:t xml:space="preserve">A below-2 °C world would spare Niger about 49 days of dangerous heat a year by 2100 and cut the</w:t>
      </w:r>
      <w:r>
        <w:t xml:space="preserve"> </w:t>
      </w:r>
      <w:r>
        <w:t xml:space="preserve">intensification of extreme rainfall from +43 % to +17 %; a 1.5 °C pathway would keep heat near today’s</w:t>
      </w:r>
      <w:r>
        <w:t xml:space="preserve"> </w:t>
      </w:r>
      <w:r>
        <w:t xml:space="preserve">level (32 days). Climate change could reduce annual GDP by 2.2 % to 11.9 % by 2050 (</w:t>
      </w:r>
      <w:hyperlink r:id="rId31">
        <w:r>
          <w:rPr>
            <w:rStyle w:val="Hyperlink"/>
          </w:rPr>
          <w:t xml:space="preserve">World Bank, 2022</w:t>
        </w:r>
      </w:hyperlink>
      <w:r>
        <w:t xml:space="preserve">). Drought,</w:t>
      </w:r>
      <w:r>
        <w:t xml:space="preserve"> </w:t>
      </w:r>
      <w:r>
        <w:t xml:space="preserve">by contrast, becomes the norm in every scenario, which makes adaptation urgent: drought-tolerant millet and</w:t>
      </w:r>
      <w:r>
        <w:t xml:space="preserve"> </w:t>
      </w:r>
      <w:r>
        <w:t xml:space="preserve">sorghum, water harvesting, early warning and protected herder mobility. The real danger is a cascade: a hot,</w:t>
      </w:r>
      <w:r>
        <w:t xml:space="preserve"> </w:t>
      </w:r>
      <w:r>
        <w:t xml:space="preserve">dry year → failed harvests and pastures → higher grain prices and distress sales of livestock → malnutrition,</w:t>
      </w:r>
      <w:r>
        <w:t xml:space="preserve"> </w:t>
      </w:r>
      <w:r>
        <w:t xml:space="preserve">debt and farmer–herder tensions → emergency spending that crowds out investment.</w:t>
      </w:r>
    </w:p>
    <w:p>
      <w:pPr>
        <w:pStyle w:val="KeyBoxTitle"/>
      </w:pPr>
      <w:r>
        <w:rPr>
          <w:bCs/>
          <w:b/>
        </w:rPr>
        <w:t xml:space="preserve">Recommended negotiating position</w:t>
      </w:r>
    </w:p>
    <w:p>
      <w:pPr>
        <w:numPr>
          <w:ilvl w:val="0"/>
          <w:numId w:val="1001"/>
        </w:numPr>
        <w:pStyle w:val="KeyBox"/>
      </w:pPr>
      <w:r>
        <w:t xml:space="preserve">Defend the 1.5 °C goal and NDCs consistent with a rapid fossil-fuel phase-out.</w:t>
      </w:r>
    </w:p>
    <w:p>
      <w:pPr>
        <w:numPr>
          <w:ilvl w:val="0"/>
          <w:numId w:val="1001"/>
        </w:numPr>
        <w:pStyle w:val="KeyBox"/>
      </w:pPr>
      <w:r>
        <w:t xml:space="preserve">Tie Niger’s support to scaled-up adaptation finance with simplified access for LDCs.</w:t>
      </w:r>
    </w:p>
    <w:p>
      <w:pPr>
        <w:numPr>
          <w:ilvl w:val="0"/>
          <w:numId w:val="1001"/>
        </w:numPr>
        <w:pStyle w:val="KeyBox"/>
      </w:pPr>
      <w:r>
        <w:t xml:space="preserve">Use the Loss and Damage Fund, with the African Group and the LDC Group.</w:t>
      </w:r>
    </w:p>
    <w:bookmarkEnd w:id="32"/>
    <w:bookmarkStart w:id="33" w:name="confidence-and-limits"/>
    <w:p>
      <w:pPr>
        <w:pStyle w:val="Heading1"/>
      </w:pPr>
      <w:r>
        <w:t xml:space="preserve">4. Confidence and limits</w:t>
      </w:r>
    </w:p>
    <w:p>
      <w:pPr>
        <w:pStyle w:val="FirstParagraph"/>
      </w:pPr>
      <w:r>
        <w:t xml:space="preserve">Heat projections are robust in direction but wide in size (59 to 134 days in 2100). The drought indicator</w:t>
      </w:r>
      <w:r>
        <w:t xml:space="preserve"> </w:t>
      </w:r>
      <w:r>
        <w:t xml:space="preserve">saturates, and the tool does not model millet or sorghum. These are hazard projections, not forecasts; given</w:t>
      </w:r>
      <w:r>
        <w:t xml:space="preserve"> </w:t>
      </w:r>
      <w:r>
        <w:t xml:space="preserve">Niger’s vulnerability, real impacts are likely to be larger.</w:t>
      </w:r>
    </w:p>
    <w:p>
      <w:r>
        <w:br w:type="page"/>
      </w:r>
    </w:p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  <w:spacing w:line="240" w:lineRule="auto" w:after="120"/>
        <w:jc w:val="left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  <w:spacing w:line="240" w:lineRule="auto" w:after="120"/>
        <w:jc w:val="lef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 and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6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  <w:spacing w:line="240" w:lineRule="auto" w:after="120"/>
        <w:jc w:val="lef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4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  <w:spacing w:line="240" w:lineRule="auto" w:after="120"/>
        <w:jc w:val="lef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23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  <w:spacing w:line="240" w:lineRule="auto" w:after="120"/>
        <w:jc w:val="lef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25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1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  <w:spacing w:line="240" w:lineRule="auto" w:after="120"/>
        <w:jc w:val="lef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20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4"/>
    <w:sectPr>
      <w:headerReference w:type="default" r:id="rId9"/>
      <w:footerReference w:type="default" r:id="rId10"/>
      <w:pgSz w:h="16838" w:w="11906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 w:line="276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firstLine="0" w:left="480" w:right="480"/>
      <w:jc w:val="both"/>
    </w:pPr>
    <w:rPr>
      <w:rFonts w:ascii="Times New Roman" w:cs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A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spacing w:after="40" w:line="360" w:lineRule="auto"/>
      <w:ind w:left="170"/>
      <w:jc w:val="both"/>
      <w:pBdr>
        <w:left w:color="000000" w:space="6" w:sz="18" w:val="single"/>
      </w:pBdr>
      <w:shd w:color="auto" w:fill="EFEFEF" w:val="clear"/>
    </w:pPr>
    <w:rPr>
      <w:rFonts w:ascii="Times New Roman" w:cs="Times New Roman" w:eastAsia="Times New Roman" w:hAnsi="Times New Roman"/>
      <w:color w:val="000000"/>
      <w:sz w:val="24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4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31" Type="http://schemas.openxmlformats.org/officeDocument/2006/relationships/hyperlink" Target="http://hdl.handle.net/10986/37620" TargetMode="External"/><Relationship Id="rId26" Type="http://schemas.openxmlformats.org/officeDocument/2006/relationships/hyperlink" Target="https://climate-impact-explorer.climateanalytics.org" TargetMode="External"/><Relationship Id="rId23" Type="http://schemas.openxmlformats.org/officeDocument/2006/relationships/hyperlink" Target="https://doi.org/10.1029/2018EF000873" TargetMode="External"/><Relationship Id="rId25" Type="http://schemas.openxmlformats.org/officeDocument/2006/relationships/hyperlink" Target="https://doi.org/10.1038/nature22069" TargetMode="External"/><Relationship Id="rId24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://hdl.handle.net/10986/37620" TargetMode="External"/><Relationship Id="rId26" Type="http://schemas.openxmlformats.org/officeDocument/2006/relationships/hyperlink" Target="https://climate-impact-explorer.climateanalytics.org" TargetMode="External"/><Relationship Id="rId23" Type="http://schemas.openxmlformats.org/officeDocument/2006/relationships/hyperlink" Target="https://doi.org/10.1029/2018EF000873" TargetMode="External"/><Relationship Id="rId25" Type="http://schemas.openxmlformats.org/officeDocument/2006/relationships/hyperlink" Target="https://doi.org/10.1038/nature22069" TargetMode="External"/><Relationship Id="rId24" Type="http://schemas.openxmlformats.org/officeDocument/2006/relationships/hyperlink" Target="https://doi.org/10.1371/journal.pone.0333963" TargetMode="External"/><Relationship Id="rId21" Type="http://schemas.openxmlformats.org/officeDocument/2006/relationships/hyperlink" Target="https://globalnation.inquirer.net/251812/niger-ups-flood-toll-to-339-dead-more-than-1-million-affected" TargetMode="External"/><Relationship Id="rId20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2026-10-09T22:09:38Z</dcterms:created>
  <dcterms:modified xsi:type="dcterms:W3CDTF">2026-10-09T22:09:38Z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