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5832D" w14:textId="77777777" w:rsidR="005B561F" w:rsidRPr="00B56D56" w:rsidRDefault="00000000" w:rsidP="00B56D56">
      <w:pPr>
        <w:pStyle w:val="Centered"/>
        <w:spacing w:line="240" w:lineRule="auto"/>
        <w:rPr>
          <w:sz w:val="24"/>
        </w:rPr>
      </w:pPr>
      <w:r w:rsidRPr="00B56D56">
        <w:rPr>
          <w:b/>
          <w:bCs/>
          <w:sz w:val="24"/>
        </w:rPr>
        <w:t>Policy Memo: Why Limiting Climate Change Matters for Niger</w:t>
      </w:r>
    </w:p>
    <w:tbl>
      <w:tblPr>
        <w:tblStyle w:val="Table"/>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20" w:firstRow="1" w:lastRow="0" w:firstColumn="0" w:lastColumn="0" w:noHBand="0" w:noVBand="0"/>
      </w:tblPr>
      <w:tblGrid>
        <w:gridCol w:w="4644"/>
        <w:gridCol w:w="4644"/>
      </w:tblGrid>
      <w:tr w:rsidR="005B561F" w:rsidRPr="00B56D56" w14:paraId="79725B14" w14:textId="77777777" w:rsidTr="005B561F">
        <w:trPr>
          <w:cnfStyle w:val="100000000000" w:firstRow="1" w:lastRow="0" w:firstColumn="0" w:lastColumn="0" w:oddVBand="0" w:evenVBand="0" w:oddHBand="0" w:evenHBand="0" w:firstRowFirstColumn="0" w:firstRowLastColumn="0" w:lastRowFirstColumn="0" w:lastRowLastColumn="0"/>
          <w:tblHeader/>
        </w:trPr>
        <w:tc>
          <w:tcPr>
            <w:tcW w:w="4535" w:type="dxa"/>
          </w:tcPr>
          <w:p w14:paraId="2C661AF5" w14:textId="77777777" w:rsidR="005B561F" w:rsidRPr="00B56D56" w:rsidRDefault="00000000" w:rsidP="00B56D56">
            <w:pPr>
              <w:pStyle w:val="Compact"/>
              <w:spacing w:before="20" w:after="20" w:line="240" w:lineRule="auto"/>
              <w:jc w:val="left"/>
            </w:pPr>
            <w:r w:rsidRPr="00B56D56">
              <w:rPr>
                <w:b/>
                <w:bCs/>
              </w:rPr>
              <w:t>To:</w:t>
            </w:r>
            <w:r w:rsidRPr="00B56D56">
              <w:t xml:space="preserve"> Minister of Environment, Head of Niger’s UNFCCC delegation</w:t>
            </w:r>
          </w:p>
        </w:tc>
        <w:tc>
          <w:tcPr>
            <w:tcW w:w="4535" w:type="dxa"/>
          </w:tcPr>
          <w:p w14:paraId="6424F907" w14:textId="77777777" w:rsidR="005B561F" w:rsidRPr="00B56D56" w:rsidRDefault="00000000" w:rsidP="00B56D56">
            <w:pPr>
              <w:pStyle w:val="Compact"/>
              <w:spacing w:before="20" w:after="20" w:line="240" w:lineRule="auto"/>
              <w:jc w:val="left"/>
            </w:pPr>
            <w:r w:rsidRPr="00B56D56">
              <w:rPr>
                <w:b/>
                <w:bCs/>
              </w:rPr>
              <w:t>From:</w:t>
            </w:r>
            <w:r w:rsidRPr="00B56D56">
              <w:t xml:space="preserve"> KOUAME Koffi Fidèle, Climate Adviser</w:t>
            </w:r>
          </w:p>
        </w:tc>
      </w:tr>
      <w:tr w:rsidR="005B561F" w:rsidRPr="00B56D56" w14:paraId="69681371" w14:textId="77777777" w:rsidTr="005B561F">
        <w:tc>
          <w:tcPr>
            <w:tcW w:w="4535" w:type="dxa"/>
          </w:tcPr>
          <w:p w14:paraId="331D10CB" w14:textId="77777777" w:rsidR="005B561F" w:rsidRPr="00B56D56" w:rsidRDefault="00000000" w:rsidP="00B56D56">
            <w:pPr>
              <w:pStyle w:val="Compact"/>
              <w:spacing w:before="20" w:after="20" w:line="240" w:lineRule="auto"/>
              <w:jc w:val="left"/>
            </w:pPr>
            <w:r w:rsidRPr="00B56D56">
              <w:rPr>
                <w:b/>
                <w:bCs/>
              </w:rPr>
              <w:t>Date:</w:t>
            </w:r>
            <w:r w:rsidRPr="00B56D56">
              <w:t xml:space="preserve"> 14 October 2026</w:t>
            </w:r>
          </w:p>
        </w:tc>
        <w:tc>
          <w:tcPr>
            <w:tcW w:w="4535" w:type="dxa"/>
          </w:tcPr>
          <w:p w14:paraId="7D19FF67" w14:textId="77777777" w:rsidR="005B561F" w:rsidRPr="00B56D56" w:rsidRDefault="00000000" w:rsidP="00B56D56">
            <w:pPr>
              <w:pStyle w:val="Compact"/>
              <w:spacing w:before="20" w:after="20" w:line="240" w:lineRule="auto"/>
              <w:jc w:val="left"/>
            </w:pPr>
            <w:r w:rsidRPr="00B56D56">
              <w:rPr>
                <w:b/>
                <w:bCs/>
              </w:rPr>
              <w:t>Subject:</w:t>
            </w:r>
            <w:r w:rsidRPr="00B56D56">
              <w:t xml:space="preserve"> Climate risks for Niger and the case for limiting global warming</w:t>
            </w:r>
          </w:p>
        </w:tc>
      </w:tr>
    </w:tbl>
    <w:p w14:paraId="58BECE29" w14:textId="77777777" w:rsidR="005B561F" w:rsidRPr="00B56D56" w:rsidRDefault="00000000" w:rsidP="00B56D56">
      <w:pPr>
        <w:pStyle w:val="Heading1"/>
        <w:spacing w:line="240" w:lineRule="auto"/>
        <w:rPr>
          <w:sz w:val="24"/>
          <w:szCs w:val="24"/>
        </w:rPr>
      </w:pPr>
      <w:bookmarkStart w:id="0" w:name="key-message"/>
      <w:r w:rsidRPr="00B56D56">
        <w:rPr>
          <w:sz w:val="24"/>
          <w:szCs w:val="24"/>
        </w:rPr>
        <w:t>Key message</w:t>
      </w:r>
    </w:p>
    <w:p w14:paraId="2AF7DB41" w14:textId="77777777" w:rsidR="005B561F" w:rsidRPr="00B56D56" w:rsidRDefault="00000000" w:rsidP="00B56D56">
      <w:pPr>
        <w:pStyle w:val="FirstParagraph"/>
        <w:spacing w:line="240" w:lineRule="auto"/>
      </w:pPr>
      <w:r w:rsidRPr="00B56D56">
        <w:t>Models indicate that, under current global policies, Niger could face about 91 days of dangerous heat a year by 2100, three times today’s level, against about 42 if warming is held below 2 °C and 32 on a 1.5 °C pathway. Because most Nigeriens farm and herd outdoors, this is the largest loss that faster global emission cuts can still avoid. Severe drought, by contrast, is projected to become near-universal in every scenario, so Niger also needs adaptation finance now.</w:t>
      </w:r>
    </w:p>
    <w:p w14:paraId="01A316B9" w14:textId="77777777" w:rsidR="005B561F" w:rsidRPr="00B56D56" w:rsidRDefault="00000000" w:rsidP="00B56D56">
      <w:pPr>
        <w:pStyle w:val="Heading1"/>
        <w:spacing w:line="240" w:lineRule="auto"/>
        <w:rPr>
          <w:sz w:val="24"/>
          <w:szCs w:val="24"/>
        </w:rPr>
      </w:pPr>
      <w:bookmarkStart w:id="1" w:name="three-priority-impacts"/>
      <w:bookmarkEnd w:id="0"/>
      <w:r w:rsidRPr="00B56D56">
        <w:rPr>
          <w:sz w:val="24"/>
          <w:szCs w:val="24"/>
        </w:rPr>
        <w:t>Three priority impacts</w:t>
      </w:r>
    </w:p>
    <w:tbl>
      <w:tblPr>
        <w:tblStyle w:val="Table"/>
        <w:tblW w:w="5000" w:type="pct"/>
        <w:tblBorders>
          <w:top w:val="single" w:sz="12" w:space="0" w:color="000000"/>
          <w:left w:val="nil"/>
          <w:bottom w:val="single" w:sz="12" w:space="0" w:color="000000"/>
          <w:right w:val="nil"/>
          <w:insideH w:val="nil"/>
          <w:insideV w:val="nil"/>
        </w:tblBorders>
        <w:tblLayout w:type="fixed"/>
        <w:tblLook w:val="0020" w:firstRow="1" w:lastRow="0" w:firstColumn="0" w:lastColumn="0" w:noHBand="0" w:noVBand="0"/>
      </w:tblPr>
      <w:tblGrid>
        <w:gridCol w:w="2902"/>
        <w:gridCol w:w="1160"/>
        <w:gridCol w:w="1742"/>
        <w:gridCol w:w="1742"/>
        <w:gridCol w:w="1742"/>
      </w:tblGrid>
      <w:tr w:rsidR="005B561F" w:rsidRPr="00B56D56" w14:paraId="4FDA5829" w14:textId="77777777" w:rsidTr="005B561F">
        <w:trPr>
          <w:cnfStyle w:val="100000000000" w:firstRow="1" w:lastRow="0" w:firstColumn="0" w:lastColumn="0" w:oddVBand="0" w:evenVBand="0" w:oddHBand="0" w:evenHBand="0" w:firstRowFirstColumn="0" w:firstRowLastColumn="0" w:lastRowFirstColumn="0" w:lastRowLastColumn="0"/>
          <w:tblHeader/>
        </w:trPr>
        <w:tc>
          <w:tcPr>
            <w:tcW w:w="2835" w:type="dxa"/>
            <w:tcBorders>
              <w:bottom w:val="single" w:sz="6" w:space="0" w:color="000000"/>
            </w:tcBorders>
          </w:tcPr>
          <w:p w14:paraId="68AB5CF8" w14:textId="77777777" w:rsidR="005B561F" w:rsidRPr="00B56D56" w:rsidRDefault="00000000" w:rsidP="00B56D56">
            <w:pPr>
              <w:pStyle w:val="Compact"/>
              <w:spacing w:before="20" w:after="20" w:line="240" w:lineRule="auto"/>
              <w:jc w:val="left"/>
            </w:pPr>
            <w:r w:rsidRPr="00B56D56">
              <w:rPr>
                <w:b/>
                <w:bCs/>
              </w:rPr>
              <w:t>Impact (CIE indicator)</w:t>
            </w:r>
          </w:p>
        </w:tc>
        <w:tc>
          <w:tcPr>
            <w:tcW w:w="1134" w:type="dxa"/>
            <w:tcBorders>
              <w:bottom w:val="single" w:sz="6" w:space="0" w:color="000000"/>
            </w:tcBorders>
          </w:tcPr>
          <w:p w14:paraId="111A84EB" w14:textId="77777777" w:rsidR="005B561F" w:rsidRPr="00B56D56" w:rsidRDefault="00000000" w:rsidP="00B56D56">
            <w:pPr>
              <w:pStyle w:val="Compact"/>
              <w:spacing w:before="20" w:after="20" w:line="240" w:lineRule="auto"/>
              <w:jc w:val="center"/>
            </w:pPr>
            <w:r w:rsidRPr="00B56D56">
              <w:rPr>
                <w:b/>
                <w:bCs/>
              </w:rPr>
              <w:t>Today (2020)</w:t>
            </w:r>
          </w:p>
        </w:tc>
        <w:tc>
          <w:tcPr>
            <w:tcW w:w="1701" w:type="dxa"/>
            <w:tcBorders>
              <w:bottom w:val="single" w:sz="6" w:space="0" w:color="000000"/>
            </w:tcBorders>
          </w:tcPr>
          <w:p w14:paraId="4169DCC0" w14:textId="77777777" w:rsidR="005B561F" w:rsidRPr="00B56D56" w:rsidRDefault="00000000" w:rsidP="00B56D56">
            <w:pPr>
              <w:pStyle w:val="Compact"/>
              <w:spacing w:before="20" w:after="20" w:line="240" w:lineRule="auto"/>
              <w:jc w:val="center"/>
            </w:pPr>
            <w:r w:rsidRPr="00B56D56">
              <w:rPr>
                <w:b/>
                <w:bCs/>
              </w:rPr>
              <w:t>2100: 1.5 °C path</w:t>
            </w:r>
          </w:p>
        </w:tc>
        <w:tc>
          <w:tcPr>
            <w:tcW w:w="1701" w:type="dxa"/>
            <w:tcBorders>
              <w:bottom w:val="single" w:sz="6" w:space="0" w:color="000000"/>
            </w:tcBorders>
          </w:tcPr>
          <w:p w14:paraId="15468021" w14:textId="77777777" w:rsidR="005B561F" w:rsidRPr="00B56D56" w:rsidRDefault="00000000" w:rsidP="00B56D56">
            <w:pPr>
              <w:pStyle w:val="Compact"/>
              <w:spacing w:before="20" w:after="20" w:line="240" w:lineRule="auto"/>
              <w:jc w:val="center"/>
            </w:pPr>
            <w:r w:rsidRPr="00B56D56">
              <w:rPr>
                <w:b/>
                <w:bCs/>
              </w:rPr>
              <w:t>2100: below 2 °C</w:t>
            </w:r>
          </w:p>
        </w:tc>
        <w:tc>
          <w:tcPr>
            <w:tcW w:w="1701" w:type="dxa"/>
            <w:tcBorders>
              <w:bottom w:val="single" w:sz="6" w:space="0" w:color="000000"/>
            </w:tcBorders>
          </w:tcPr>
          <w:p w14:paraId="4CAE2550" w14:textId="77777777" w:rsidR="005B561F" w:rsidRPr="00B56D56" w:rsidRDefault="00000000" w:rsidP="00B56D56">
            <w:pPr>
              <w:pStyle w:val="Compact"/>
              <w:spacing w:before="20" w:after="20" w:line="240" w:lineRule="auto"/>
              <w:jc w:val="center"/>
            </w:pPr>
            <w:r w:rsidRPr="00B56D56">
              <w:rPr>
                <w:b/>
                <w:bCs/>
              </w:rPr>
              <w:t>2100: current policies</w:t>
            </w:r>
          </w:p>
        </w:tc>
      </w:tr>
      <w:tr w:rsidR="005B561F" w:rsidRPr="00B56D56" w14:paraId="16299F53" w14:textId="77777777" w:rsidTr="005B561F">
        <w:tc>
          <w:tcPr>
            <w:tcW w:w="2835" w:type="dxa"/>
          </w:tcPr>
          <w:p w14:paraId="0674FE88" w14:textId="77777777" w:rsidR="005B561F" w:rsidRPr="00B56D56" w:rsidRDefault="00000000" w:rsidP="00B56D56">
            <w:pPr>
              <w:pStyle w:val="Compact"/>
              <w:spacing w:before="20" w:after="20" w:line="240" w:lineRule="auto"/>
              <w:jc w:val="left"/>
            </w:pPr>
            <w:r w:rsidRPr="00B56D56">
              <w:t>Dangerous heat: days per year with a daily maximum heat index above 40 °C</w:t>
            </w:r>
          </w:p>
        </w:tc>
        <w:tc>
          <w:tcPr>
            <w:tcW w:w="1134" w:type="dxa"/>
          </w:tcPr>
          <w:p w14:paraId="51554E85" w14:textId="77777777" w:rsidR="005B561F" w:rsidRPr="00B56D56" w:rsidRDefault="00000000" w:rsidP="00B56D56">
            <w:pPr>
              <w:pStyle w:val="Compact"/>
              <w:spacing w:before="20" w:after="20" w:line="240" w:lineRule="auto"/>
              <w:jc w:val="center"/>
            </w:pPr>
            <w:r w:rsidRPr="00B56D56">
              <w:t>31</w:t>
            </w:r>
            <w:r w:rsidRPr="00B56D56">
              <w:br/>
              <w:t>[25–38]</w:t>
            </w:r>
          </w:p>
        </w:tc>
        <w:tc>
          <w:tcPr>
            <w:tcW w:w="1701" w:type="dxa"/>
          </w:tcPr>
          <w:p w14:paraId="50B2171D" w14:textId="77777777" w:rsidR="005B561F" w:rsidRPr="00B56D56" w:rsidRDefault="00000000" w:rsidP="00B56D56">
            <w:pPr>
              <w:pStyle w:val="Compact"/>
              <w:spacing w:before="20" w:after="20" w:line="240" w:lineRule="auto"/>
              <w:jc w:val="center"/>
            </w:pPr>
            <w:r w:rsidRPr="00B56D56">
              <w:t>32</w:t>
            </w:r>
            <w:r w:rsidRPr="00B56D56">
              <w:br/>
              <w:t>[24–50]</w:t>
            </w:r>
          </w:p>
        </w:tc>
        <w:tc>
          <w:tcPr>
            <w:tcW w:w="1701" w:type="dxa"/>
          </w:tcPr>
          <w:p w14:paraId="5B2D825C" w14:textId="77777777" w:rsidR="005B561F" w:rsidRPr="00B56D56" w:rsidRDefault="00000000" w:rsidP="00B56D56">
            <w:pPr>
              <w:pStyle w:val="Compact"/>
              <w:spacing w:before="20" w:after="20" w:line="240" w:lineRule="auto"/>
              <w:jc w:val="center"/>
            </w:pPr>
            <w:r w:rsidRPr="00B56D56">
              <w:t>42</w:t>
            </w:r>
            <w:r w:rsidRPr="00B56D56">
              <w:br/>
              <w:t>[29–72]</w:t>
            </w:r>
          </w:p>
        </w:tc>
        <w:tc>
          <w:tcPr>
            <w:tcW w:w="1701" w:type="dxa"/>
          </w:tcPr>
          <w:p w14:paraId="7BEEE08E" w14:textId="77777777" w:rsidR="005B561F" w:rsidRPr="00B56D56" w:rsidRDefault="00000000" w:rsidP="00B56D56">
            <w:pPr>
              <w:pStyle w:val="Compact"/>
              <w:spacing w:before="20" w:after="20" w:line="240" w:lineRule="auto"/>
              <w:jc w:val="center"/>
            </w:pPr>
            <w:r w:rsidRPr="00B56D56">
              <w:t>91</w:t>
            </w:r>
            <w:r w:rsidRPr="00B56D56">
              <w:br/>
              <w:t>[59–134]</w:t>
            </w:r>
          </w:p>
        </w:tc>
      </w:tr>
      <w:tr w:rsidR="005B561F" w:rsidRPr="00B56D56" w14:paraId="7D178917" w14:textId="77777777" w:rsidTr="005B561F">
        <w:tc>
          <w:tcPr>
            <w:tcW w:w="2835" w:type="dxa"/>
          </w:tcPr>
          <w:p w14:paraId="55D1F0D1" w14:textId="77777777" w:rsidR="005B561F" w:rsidRPr="00B56D56" w:rsidRDefault="00000000" w:rsidP="00B56D56">
            <w:pPr>
              <w:pStyle w:val="Compact"/>
              <w:spacing w:before="20" w:after="20" w:line="240" w:lineRule="auto"/>
              <w:jc w:val="left"/>
            </w:pPr>
            <w:r w:rsidRPr="00B56D56">
              <w:t>Severe drought: share of land with at least one month of SPEI below −1.5</w:t>
            </w:r>
          </w:p>
        </w:tc>
        <w:tc>
          <w:tcPr>
            <w:tcW w:w="1134" w:type="dxa"/>
          </w:tcPr>
          <w:p w14:paraId="72106E92" w14:textId="77777777" w:rsidR="005B561F" w:rsidRPr="00B56D56" w:rsidRDefault="00000000" w:rsidP="00B56D56">
            <w:pPr>
              <w:pStyle w:val="Compact"/>
              <w:spacing w:before="20" w:after="20" w:line="240" w:lineRule="auto"/>
              <w:jc w:val="center"/>
            </w:pPr>
            <w:r w:rsidRPr="00B56D56">
              <w:t>84 %</w:t>
            </w:r>
            <w:r w:rsidRPr="00B56D56">
              <w:br/>
              <w:t>[72–97]</w:t>
            </w:r>
          </w:p>
        </w:tc>
        <w:tc>
          <w:tcPr>
            <w:tcW w:w="1701" w:type="dxa"/>
          </w:tcPr>
          <w:p w14:paraId="7B6EBF69" w14:textId="77777777" w:rsidR="005B561F" w:rsidRPr="00B56D56" w:rsidRDefault="00000000" w:rsidP="00B56D56">
            <w:pPr>
              <w:pStyle w:val="Compact"/>
              <w:spacing w:before="20" w:after="20" w:line="240" w:lineRule="auto"/>
              <w:jc w:val="center"/>
            </w:pPr>
            <w:r w:rsidRPr="00B56D56">
              <w:t>87 %</w:t>
            </w:r>
            <w:r w:rsidRPr="00B56D56">
              <w:br/>
              <w:t>[66–100]</w:t>
            </w:r>
          </w:p>
        </w:tc>
        <w:tc>
          <w:tcPr>
            <w:tcW w:w="1701" w:type="dxa"/>
          </w:tcPr>
          <w:p w14:paraId="62B22065" w14:textId="77777777" w:rsidR="005B561F" w:rsidRPr="00B56D56" w:rsidRDefault="00000000" w:rsidP="00B56D56">
            <w:pPr>
              <w:pStyle w:val="Compact"/>
              <w:spacing w:before="20" w:after="20" w:line="240" w:lineRule="auto"/>
              <w:jc w:val="center"/>
            </w:pPr>
            <w:r w:rsidRPr="00B56D56">
              <w:t>98 %</w:t>
            </w:r>
            <w:r w:rsidRPr="00B56D56">
              <w:br/>
              <w:t>[81–100]</w:t>
            </w:r>
          </w:p>
        </w:tc>
        <w:tc>
          <w:tcPr>
            <w:tcW w:w="1701" w:type="dxa"/>
          </w:tcPr>
          <w:p w14:paraId="6691A944" w14:textId="77777777" w:rsidR="005B561F" w:rsidRPr="00B56D56" w:rsidRDefault="00000000" w:rsidP="00B56D56">
            <w:pPr>
              <w:pStyle w:val="Compact"/>
              <w:spacing w:before="20" w:after="20" w:line="240" w:lineRule="auto"/>
              <w:jc w:val="center"/>
            </w:pPr>
            <w:r w:rsidRPr="00B56D56">
              <w:t>100 %</w:t>
            </w:r>
            <w:r w:rsidRPr="00B56D56">
              <w:br/>
              <w:t>[98–100]</w:t>
            </w:r>
          </w:p>
        </w:tc>
      </w:tr>
      <w:tr w:rsidR="005B561F" w:rsidRPr="00B56D56" w14:paraId="1E3C88BB" w14:textId="77777777" w:rsidTr="005B561F">
        <w:tc>
          <w:tcPr>
            <w:tcW w:w="2835" w:type="dxa"/>
          </w:tcPr>
          <w:p w14:paraId="0AF32D12" w14:textId="77777777" w:rsidR="005B561F" w:rsidRPr="00B56D56" w:rsidRDefault="00000000" w:rsidP="00B56D56">
            <w:pPr>
              <w:pStyle w:val="Compact"/>
              <w:spacing w:before="20" w:after="20" w:line="240" w:lineRule="auto"/>
              <w:jc w:val="left"/>
            </w:pPr>
            <w:r w:rsidRPr="00B56D56">
              <w:t>Extreme rainfall: annual maximum 5-day rainfall, change from 1995–2014</w:t>
            </w:r>
          </w:p>
        </w:tc>
        <w:tc>
          <w:tcPr>
            <w:tcW w:w="1134" w:type="dxa"/>
          </w:tcPr>
          <w:p w14:paraId="2E14CCCE" w14:textId="77777777" w:rsidR="005B561F" w:rsidRPr="00B56D56" w:rsidRDefault="00000000" w:rsidP="00B56D56">
            <w:pPr>
              <w:pStyle w:val="Compact"/>
              <w:spacing w:before="20" w:after="20" w:line="240" w:lineRule="auto"/>
              <w:jc w:val="center"/>
            </w:pPr>
            <w:r w:rsidRPr="00B56D56">
              <w:t>+8 %</w:t>
            </w:r>
            <w:r w:rsidRPr="00B56D56">
              <w:br/>
              <w:t>[−7, +29]</w:t>
            </w:r>
          </w:p>
        </w:tc>
        <w:tc>
          <w:tcPr>
            <w:tcW w:w="1701" w:type="dxa"/>
          </w:tcPr>
          <w:p w14:paraId="6F01B654" w14:textId="77777777" w:rsidR="005B561F" w:rsidRPr="00B56D56" w:rsidRDefault="00000000" w:rsidP="00B56D56">
            <w:pPr>
              <w:pStyle w:val="Compact"/>
              <w:spacing w:before="20" w:after="20" w:line="240" w:lineRule="auto"/>
              <w:jc w:val="center"/>
            </w:pPr>
            <w:r w:rsidRPr="00B56D56">
              <w:t>+9 %</w:t>
            </w:r>
            <w:r w:rsidRPr="00B56D56">
              <w:br/>
              <w:t>[−6, +38]</w:t>
            </w:r>
          </w:p>
        </w:tc>
        <w:tc>
          <w:tcPr>
            <w:tcW w:w="1701" w:type="dxa"/>
          </w:tcPr>
          <w:p w14:paraId="2FBC96E6" w14:textId="77777777" w:rsidR="005B561F" w:rsidRPr="00B56D56" w:rsidRDefault="00000000" w:rsidP="00B56D56">
            <w:pPr>
              <w:pStyle w:val="Compact"/>
              <w:spacing w:before="20" w:after="20" w:line="240" w:lineRule="auto"/>
              <w:jc w:val="center"/>
            </w:pPr>
            <w:r w:rsidRPr="00B56D56">
              <w:t>+17 %</w:t>
            </w:r>
            <w:r w:rsidRPr="00B56D56">
              <w:br/>
              <w:t>[−1, +54]</w:t>
            </w:r>
          </w:p>
        </w:tc>
        <w:tc>
          <w:tcPr>
            <w:tcW w:w="1701" w:type="dxa"/>
          </w:tcPr>
          <w:p w14:paraId="70F5BC0F" w14:textId="77777777" w:rsidR="005B561F" w:rsidRPr="00B56D56" w:rsidRDefault="00000000" w:rsidP="00B56D56">
            <w:pPr>
              <w:pStyle w:val="Compact"/>
              <w:spacing w:before="20" w:after="20" w:line="240" w:lineRule="auto"/>
              <w:jc w:val="center"/>
            </w:pPr>
            <w:r w:rsidRPr="00B56D56">
              <w:t>+43 %</w:t>
            </w:r>
            <w:r w:rsidRPr="00B56D56">
              <w:br/>
              <w:t>[+5, +110]</w:t>
            </w:r>
          </w:p>
        </w:tc>
      </w:tr>
    </w:tbl>
    <w:p w14:paraId="13563C63" w14:textId="77777777" w:rsidR="005B561F" w:rsidRPr="00B56D56" w:rsidRDefault="00000000" w:rsidP="00B56D56">
      <w:pPr>
        <w:pStyle w:val="BodyText"/>
        <w:spacing w:line="240" w:lineRule="auto"/>
      </w:pPr>
      <w:r w:rsidRPr="00B56D56">
        <w:rPr>
          <w:i/>
          <w:iCs/>
        </w:rPr>
        <w:t>Table 1. Source: Climate Impact Explorer (</w:t>
      </w:r>
      <w:hyperlink r:id="rId7">
        <w:r w:rsidRPr="00B56D56">
          <w:rPr>
            <w:rStyle w:val="Hyperlink"/>
            <w:i/>
            <w:iCs/>
          </w:rPr>
          <w:t>Climate Analytics, 2026</w:t>
        </w:r>
      </w:hyperlink>
      <w:r w:rsidRPr="00B56D56">
        <w:rPr>
          <w:i/>
          <w:iCs/>
        </w:rPr>
        <w:t>), Niger, annual values, area-weighted average. NGFS scenarios: Net Zero 2050 (1.3 °C of global warming in 2100), Below 2 °C (1.6 °C) and Current policies (2.9 °C). Median of five models; 5–95 % range in brackets. Values after 2060 are indicative.</w:t>
      </w:r>
    </w:p>
    <w:p w14:paraId="6E575C42" w14:textId="77777777" w:rsidR="005B561F" w:rsidRPr="00B56D56" w:rsidRDefault="00000000" w:rsidP="00B56D56">
      <w:pPr>
        <w:pStyle w:val="BodyText"/>
        <w:spacing w:line="240" w:lineRule="auto"/>
      </w:pPr>
      <w:r w:rsidRPr="00B56D56">
        <w:rPr>
          <w:b/>
          <w:bCs/>
        </w:rPr>
        <w:t>Dangerous heat.</w:t>
      </w:r>
      <w:r w:rsidRPr="00B56D56">
        <w:t xml:space="preserve"> The number of days with a daily maximum heat index above 40 °C, the “danger” threshold used in heat warnings, is projected to rise from about 31 today to 91 by 2100 under current policies, against 42 below 2 °C. The two pathways only separate after 2030 (Figure 1). This matters because agriculture and livestock employ more than 80 % of the population, mostly outdoors and without cooling (</w:t>
      </w:r>
      <w:hyperlink r:id="rId8">
        <w:r w:rsidRPr="00B56D56">
          <w:rPr>
            <w:rStyle w:val="Hyperlink"/>
          </w:rPr>
          <w:t>World Bank, 2024</w:t>
        </w:r>
      </w:hyperlink>
      <w:r w:rsidRPr="00B56D56">
        <w:t>).</w:t>
      </w:r>
    </w:p>
    <w:p w14:paraId="287B35F5" w14:textId="77777777" w:rsidR="005B561F" w:rsidRPr="00B56D56" w:rsidRDefault="00000000" w:rsidP="00B56D56">
      <w:pPr>
        <w:pStyle w:val="BodyText"/>
        <w:spacing w:line="240" w:lineRule="auto"/>
      </w:pPr>
      <w:r w:rsidRPr="00B56D56">
        <w:rPr>
          <w:b/>
          <w:bCs/>
        </w:rPr>
        <w:t>Severe drought.</w:t>
      </w:r>
      <w:r w:rsidRPr="00B56D56">
        <w:t xml:space="preserve"> This indicator accounts for evaporation as well as rainfall. About 84 % of the land already experiences at least one month of severe drought a year, and models project 98 to 100 % by 2100 both below 2 °C and under current policies; only the 1.5 °C pathway keeps the share lower (87 %). Rain-fed millet, sorghum and pastures are therefore likely to face more frequent water stress whatever the global outcome.</w:t>
      </w:r>
    </w:p>
    <w:p w14:paraId="19D1B3B9" w14:textId="77777777" w:rsidR="005B561F" w:rsidRPr="00B56D56" w:rsidRDefault="00000000" w:rsidP="00B56D56">
      <w:pPr>
        <w:pStyle w:val="BodyText"/>
        <w:spacing w:line="240" w:lineRule="auto"/>
      </w:pPr>
      <w:r w:rsidRPr="00B56D56">
        <w:rPr>
          <w:b/>
          <w:bCs/>
        </w:rPr>
        <w:t>Extreme rainfall.</w:t>
      </w:r>
      <w:r w:rsidRPr="00B56D56">
        <w:t xml:space="preserve"> The heaviest five-day rainfall of the year could intensify by about 43 % by 2100 under current policies, against 17 % below 2 °C, although the model range is wide. Heavier downpours would raise flood risk in Niamey and the Niger River valley, where people, infrastructure and irrigated rice are concentrated.</w:t>
      </w:r>
    </w:p>
    <w:p w14:paraId="1CE89122" w14:textId="77777777" w:rsidR="005B561F" w:rsidRPr="00B56D56" w:rsidRDefault="00000000" w:rsidP="00B56D56">
      <w:pPr>
        <w:pStyle w:val="CaptionedFigure"/>
        <w:spacing w:line="240" w:lineRule="auto"/>
      </w:pPr>
      <w:r w:rsidRPr="00B56D56">
        <w:rPr>
          <w:noProof/>
        </w:rPr>
        <w:lastRenderedPageBreak/>
        <w:drawing>
          <wp:inline distT="0" distB="0" distL="0" distR="0" wp14:anchorId="54857E07" wp14:editId="2040AE55">
            <wp:extent cx="5760720" cy="2716288"/>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cie_figure_clean.png"/>
                    <pic:cNvPicPr>
                      <a:picLocks noChangeAspect="1" noChangeArrowheads="1"/>
                    </pic:cNvPicPr>
                  </pic:nvPicPr>
                  <pic:blipFill>
                    <a:blip r:embed="rId9"/>
                    <a:stretch>
                      <a:fillRect/>
                    </a:stretch>
                  </pic:blipFill>
                  <pic:spPr bwMode="auto">
                    <a:xfrm>
                      <a:off x="0" y="0"/>
                      <a:ext cx="5760720" cy="2716288"/>
                    </a:xfrm>
                    <a:prstGeom prst="rect">
                      <a:avLst/>
                    </a:prstGeom>
                    <a:noFill/>
                    <a:ln w="9525">
                      <a:noFill/>
                      <a:headEnd/>
                      <a:tailEnd/>
                    </a:ln>
                  </pic:spPr>
                </pic:pic>
              </a:graphicData>
            </a:graphic>
          </wp:inline>
        </w:drawing>
      </w:r>
    </w:p>
    <w:p w14:paraId="21147F6C" w14:textId="77777777" w:rsidR="005B561F" w:rsidRPr="00B56D56" w:rsidRDefault="00000000" w:rsidP="00B56D56">
      <w:pPr>
        <w:pStyle w:val="ImageCaption"/>
        <w:spacing w:line="240" w:lineRule="auto"/>
        <w:jc w:val="both"/>
        <w:rPr>
          <w:sz w:val="24"/>
        </w:rPr>
      </w:pPr>
      <w:r w:rsidRPr="00B56D56">
        <w:rPr>
          <w:b/>
          <w:bCs/>
          <w:sz w:val="24"/>
        </w:rPr>
        <w:t>Figure 1. Days of dangerous heat per year in Niger, below 2 °C (green) and under current policies (blue).</w:t>
      </w:r>
      <w:r w:rsidRPr="00B56D56">
        <w:rPr>
          <w:sz w:val="24"/>
        </w:rPr>
        <w:t xml:space="preserve"> The curves are identical until about 2030; the gap that opens afterwards is what limiting warming avoids. Even the low end of the current-policies range in 2100 (59 days) lies above the central below-2 °C value (42 days). Source: Climate Impact Explorer (</w:t>
      </w:r>
      <w:hyperlink r:id="rId10">
        <w:r w:rsidRPr="00B56D56">
          <w:rPr>
            <w:rStyle w:val="Hyperlink"/>
            <w:sz w:val="24"/>
          </w:rPr>
          <w:t>Climate Analytics, 2026</w:t>
        </w:r>
      </w:hyperlink>
      <w:r w:rsidRPr="00B56D56">
        <w:rPr>
          <w:sz w:val="24"/>
        </w:rPr>
        <w:t>).</w:t>
      </w:r>
    </w:p>
    <w:p w14:paraId="2A69234F" w14:textId="77777777" w:rsidR="005B561F" w:rsidRPr="00B56D56" w:rsidRDefault="00000000" w:rsidP="00B56D56">
      <w:pPr>
        <w:pStyle w:val="Heading1"/>
        <w:spacing w:line="240" w:lineRule="auto"/>
        <w:rPr>
          <w:sz w:val="24"/>
          <w:szCs w:val="24"/>
        </w:rPr>
      </w:pPr>
      <w:bookmarkStart w:id="2" w:name="Xfea160e7a0acdde38fb92e35e7c057650e1debf"/>
      <w:bookmarkEnd w:id="1"/>
      <w:r w:rsidRPr="00B56D56">
        <w:rPr>
          <w:sz w:val="24"/>
          <w:szCs w:val="24"/>
        </w:rPr>
        <w:t>Implications for Niger’s national interest</w:t>
      </w:r>
    </w:p>
    <w:p w14:paraId="1E7C55B5" w14:textId="77777777" w:rsidR="005B561F" w:rsidRPr="00B56D56" w:rsidRDefault="00000000" w:rsidP="00B56D56">
      <w:pPr>
        <w:pStyle w:val="FirstParagraph"/>
        <w:spacing w:line="240" w:lineRule="auto"/>
      </w:pPr>
      <w:r w:rsidRPr="00B56D56">
        <w:t>Limiting warming is in Niger’s direct interest. Compared with current policies, a below-2 °C world would avoid about 49 days of dangerous heat a year by 2100 and reduce the projected intensification of extreme rainfall from 43 % to 17 %; a 1.5 °C pathway would keep heat close to today’s level. The World Bank estimates that climate change could reduce Niger’s annual GDP by 2.2 % in wetter scenarios and by 11.9 % in drier ones by 2050 (</w:t>
      </w:r>
      <w:hyperlink r:id="rId11">
        <w:r w:rsidRPr="00B56D56">
          <w:rPr>
            <w:rStyle w:val="Hyperlink"/>
          </w:rPr>
          <w:t>World Bank, 2022</w:t>
        </w:r>
      </w:hyperlink>
      <w:r w:rsidRPr="00B56D56">
        <w:t>). These losses can cascade: a hot, dry year cuts harvests and pasture, raises grain prices, forces households to sell livestock, and can deepen malnutrition and tensions between farmers and herders. Because drought is projected to spread in every scenario, Niger should defend the 1.5 °C goal in the negotiations while seeking adaptation finance for drought-tolerant crops, water harvesting and early warning.</w:t>
      </w:r>
    </w:p>
    <w:p w14:paraId="22F0C996" w14:textId="77777777" w:rsidR="005B561F" w:rsidRPr="00B56D56" w:rsidRDefault="00000000" w:rsidP="00B56D56">
      <w:pPr>
        <w:pStyle w:val="Heading1"/>
        <w:spacing w:line="240" w:lineRule="auto"/>
        <w:rPr>
          <w:sz w:val="24"/>
          <w:szCs w:val="24"/>
        </w:rPr>
      </w:pPr>
      <w:bookmarkStart w:id="3" w:name="uncertainty"/>
      <w:bookmarkEnd w:id="2"/>
      <w:r w:rsidRPr="00B56D56">
        <w:rPr>
          <w:sz w:val="24"/>
          <w:szCs w:val="24"/>
        </w:rPr>
        <w:t>Uncertainty</w:t>
      </w:r>
    </w:p>
    <w:p w14:paraId="0A724840" w14:textId="77777777" w:rsidR="005B561F" w:rsidRPr="00B56D56" w:rsidRDefault="00000000" w:rsidP="00B56D56">
      <w:pPr>
        <w:pStyle w:val="FirstParagraph"/>
        <w:spacing w:line="240" w:lineRule="auto"/>
      </w:pPr>
      <w:r w:rsidRPr="00B56D56">
        <w:t>These figures are projections, not forecasts, and model ranges are wide (59 to 134 heat days in 2100 under current policies). The heat index relies on an estimate of humidity, and the drought indicator counts a single month of drought, so it saturates. Given Niger’s high vulnerability, actual impacts may exceed what these hazard indicators suggest.</w:t>
      </w:r>
    </w:p>
    <w:p w14:paraId="5D4A8109" w14:textId="77777777" w:rsidR="005B561F" w:rsidRPr="00B56D56" w:rsidRDefault="00000000" w:rsidP="00B56D56">
      <w:pPr>
        <w:pStyle w:val="Heading1"/>
        <w:pageBreakBefore/>
        <w:spacing w:line="240" w:lineRule="auto"/>
        <w:rPr>
          <w:sz w:val="24"/>
          <w:szCs w:val="24"/>
        </w:rPr>
      </w:pPr>
      <w:bookmarkStart w:id="4" w:name="references"/>
      <w:bookmarkEnd w:id="3"/>
      <w:r w:rsidRPr="00B56D56">
        <w:rPr>
          <w:sz w:val="24"/>
          <w:szCs w:val="24"/>
        </w:rPr>
        <w:lastRenderedPageBreak/>
        <w:t>References</w:t>
      </w:r>
    </w:p>
    <w:p w14:paraId="0E45228B" w14:textId="77777777" w:rsidR="005B561F" w:rsidRPr="00B56D56" w:rsidRDefault="00000000" w:rsidP="00B56D56">
      <w:pPr>
        <w:pStyle w:val="FirstParagraph"/>
        <w:spacing w:after="120" w:line="240" w:lineRule="auto"/>
        <w:jc w:val="left"/>
      </w:pPr>
      <w:r w:rsidRPr="00B56D56">
        <w:t xml:space="preserve">Climate Analytics (2026). </w:t>
      </w:r>
      <w:r w:rsidRPr="00B56D56">
        <w:rPr>
          <w:i/>
          <w:iCs/>
        </w:rPr>
        <w:t>Climate Impact Explorer</w:t>
      </w:r>
      <w:r w:rsidRPr="00B56D56">
        <w:t xml:space="preserve">: Niger. Indicators: days per year with dangerous heat risk (HI &gt; 40 °C), area under severe drought (SPEI &lt; −1.5) and annual maximum 5-day precipitation; NGFS Net Zero 2050, Below 2 °C and Current Policies scenarios; ISIMIP data. </w:t>
      </w:r>
      <w:hyperlink r:id="rId12">
        <w:r w:rsidRPr="00B56D56">
          <w:rPr>
            <w:rStyle w:val="Hyperlink"/>
          </w:rPr>
          <w:t>https://climate-impact-explorer.climateanalytics.org</w:t>
        </w:r>
      </w:hyperlink>
      <w:r w:rsidRPr="00B56D56">
        <w:t xml:space="preserve"> (accessed 9 October 2026).</w:t>
      </w:r>
    </w:p>
    <w:p w14:paraId="0D4AF408" w14:textId="77777777" w:rsidR="005B561F" w:rsidRPr="00B56D56" w:rsidRDefault="00000000" w:rsidP="00B56D56">
      <w:pPr>
        <w:pStyle w:val="BodyText"/>
        <w:spacing w:after="120" w:line="240" w:lineRule="auto"/>
        <w:jc w:val="left"/>
      </w:pPr>
      <w:r w:rsidRPr="00B56D56">
        <w:t xml:space="preserve">World Bank (2022). </w:t>
      </w:r>
      <w:r w:rsidRPr="00B56D56">
        <w:rPr>
          <w:i/>
          <w:iCs/>
        </w:rPr>
        <w:t>G5 Sahel Region Country Climate and Development Report</w:t>
      </w:r>
      <w:r w:rsidRPr="00B56D56">
        <w:t xml:space="preserve">. CCDR Series. Washington, DC: World Bank. </w:t>
      </w:r>
      <w:hyperlink r:id="rId13">
        <w:r w:rsidRPr="00B56D56">
          <w:rPr>
            <w:rStyle w:val="Hyperlink"/>
          </w:rPr>
          <w:t>http://hdl.handle.net/10986/37620</w:t>
        </w:r>
      </w:hyperlink>
    </w:p>
    <w:p w14:paraId="0F809FF7" w14:textId="77777777" w:rsidR="005B561F" w:rsidRPr="00B56D56" w:rsidRDefault="00000000" w:rsidP="00B56D56">
      <w:pPr>
        <w:pStyle w:val="BodyText"/>
        <w:spacing w:after="120" w:line="240" w:lineRule="auto"/>
        <w:jc w:val="left"/>
      </w:pPr>
      <w:r w:rsidRPr="00B56D56">
        <w:t xml:space="preserve">World Bank (2024, 28 June). The World Bank supports food security and climate resilience for households in Niger [Press release]. </w:t>
      </w:r>
      <w:hyperlink r:id="rId14">
        <w:r w:rsidRPr="00B56D56">
          <w:rPr>
            <w:rStyle w:val="Hyperlink"/>
          </w:rPr>
          <w:t>https://www.worldbank.org/en/news/press-release/2024/07/01/the-world-bank-supports-food-security-and-climate-resilience-for-households-in-niger</w:t>
        </w:r>
      </w:hyperlink>
      <w:bookmarkEnd w:id="4"/>
    </w:p>
    <w:sectPr w:rsidR="005B561F" w:rsidRPr="00B56D56">
      <w:headerReference w:type="default" r:id="rId15"/>
      <w:footerReference w:type="default" r:id="rId16"/>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8986E" w14:textId="77777777" w:rsidR="00A644F6" w:rsidRDefault="00A644F6">
      <w:pPr>
        <w:spacing w:after="0" w:line="240" w:lineRule="auto"/>
      </w:pPr>
      <w:r>
        <w:separator/>
      </w:r>
    </w:p>
  </w:endnote>
  <w:endnote w:type="continuationSeparator" w:id="0">
    <w:p w14:paraId="638D1F40" w14:textId="77777777" w:rsidR="00A644F6" w:rsidRDefault="00A644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6AD7D" w14:textId="77777777" w:rsidR="005B561F" w:rsidRDefault="00000000">
    <w:pPr>
      <w:jc w:val="center"/>
    </w:pPr>
    <w:r>
      <w:rPr>
        <w:sz w:val="20"/>
      </w:rPr>
      <w:fldChar w:fldCharType="begin"/>
    </w:r>
    <w:r>
      <w:rPr>
        <w:sz w:val="20"/>
      </w:rPr>
      <w:instrText>PAGE</w:instrText>
    </w:r>
    <w:r w:rsidR="00B56D56">
      <w:rPr>
        <w:sz w:val="20"/>
      </w:rPr>
      <w:fldChar w:fldCharType="separate"/>
    </w:r>
    <w:r w:rsidR="00B56D56">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232CE" w14:textId="77777777" w:rsidR="00A644F6" w:rsidRDefault="00A644F6">
      <w:r>
        <w:separator/>
      </w:r>
    </w:p>
  </w:footnote>
  <w:footnote w:type="continuationSeparator" w:id="0">
    <w:p w14:paraId="21325B1C" w14:textId="77777777" w:rsidR="00A644F6" w:rsidRDefault="00A644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44F45" w14:textId="77777777" w:rsidR="005B561F" w:rsidRDefault="00000000">
    <w:pPr>
      <w:pBdr>
        <w:bottom w:val="single" w:sz="6" w:space="1" w:color="000000"/>
      </w:pBdr>
      <w:tabs>
        <w:tab w:val="right" w:pos="9072"/>
      </w:tabs>
    </w:pPr>
    <w:r>
      <w:rPr>
        <w:b/>
        <w:sz w:val="19"/>
      </w:rPr>
      <w:t>Climate Solutions and Strategies | Assignment 1</w:t>
    </w:r>
    <w:r>
      <w:rPr>
        <w:sz w:val="19"/>
      </w:rPr>
      <w:tab/>
      <w:t>Skill Up for Earth | Fall 2026 | KOUAME Koffi Fidèle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A3ED1A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234967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B561F"/>
    <w:rsid w:val="003E0D6F"/>
    <w:rsid w:val="005B561F"/>
    <w:rsid w:val="00A644F6"/>
    <w:rsid w:val="00B56D5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3B42A"/>
  <w15:docId w15:val="{9944A145-69F3-4A24-A9F6-083FF4E37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00" w:line="276" w:lineRule="auto"/>
      <w:jc w:val="both"/>
    </w:pPr>
    <w:rPr>
      <w:rFonts w:ascii="Times New Roman" w:eastAsia="Times New Roman" w:hAnsi="Times New Roman" w:cs="Times New Roman"/>
      <w:color w:val="000000"/>
    </w:rPr>
  </w:style>
  <w:style w:type="paragraph" w:styleId="Heading1">
    <w:name w:val="heading 1"/>
    <w:basedOn w:val="Normal"/>
    <w:next w:val="BodyText"/>
    <w:uiPriority w:val="9"/>
    <w:qFormat/>
    <w:pPr>
      <w:keepNext/>
      <w:keepLines/>
      <w:spacing w:before="240" w:after="80"/>
      <w:outlineLvl w:val="0"/>
    </w:pPr>
    <w:rPr>
      <w:b/>
      <w:bCs/>
      <w:sz w:val="26"/>
      <w:szCs w:val="32"/>
    </w:rPr>
  </w:style>
  <w:style w:type="paragraph" w:styleId="Heading2">
    <w:name w:val="heading 2"/>
    <w:basedOn w:val="Normal"/>
    <w:next w:val="BodyText"/>
    <w:uiPriority w:val="9"/>
    <w:unhideWhenUsed/>
    <w:qFormat/>
    <w:pPr>
      <w:keepNext/>
      <w:keepLines/>
      <w:spacing w:before="240" w:after="80"/>
      <w:outlineLvl w:val="1"/>
    </w:pPr>
    <w:rPr>
      <w:b/>
      <w:bCs/>
      <w:szCs w:val="28"/>
    </w:rPr>
  </w:style>
  <w:style w:type="paragraph" w:styleId="Heading3">
    <w:name w:val="heading 3"/>
    <w:basedOn w:val="Normal"/>
    <w:next w:val="BodyText"/>
    <w:uiPriority w:val="9"/>
    <w:unhideWhenUsed/>
    <w:qFormat/>
    <w:pPr>
      <w:keepNext/>
      <w:keepLines/>
      <w:spacing w:before="240" w:after="80"/>
      <w:outlineLvl w:val="2"/>
    </w:pPr>
    <w:rPr>
      <w:b/>
      <w:bCs/>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qFormat/>
    <w:pPr>
      <w:keepNext/>
      <w:keepLines/>
      <w:spacing w:before="480" w:after="240"/>
      <w:jc w:val="center"/>
    </w:pPr>
    <w:rPr>
      <w:b/>
      <w:bCs/>
      <w:sz w:val="52"/>
      <w:szCs w:val="36"/>
    </w:rPr>
  </w:style>
  <w:style w:type="paragraph" w:styleId="Subtitle">
    <w:name w:val="Subtitle"/>
    <w:basedOn w:val="Title"/>
    <w:next w:val="BodyText"/>
    <w:qFormat/>
    <w:pPr>
      <w:spacing w:before="240"/>
    </w:pPr>
    <w:rPr>
      <w:b w:val="0"/>
      <w:sz w:val="28"/>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jc w:val="center"/>
    </w:pPr>
    <w:rPr>
      <w:sz w:val="20"/>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000000"/>
      <w:u w:val="none"/>
    </w:rPr>
  </w:style>
  <w:style w:type="paragraph" w:styleId="TOCHeading">
    <w:name w:val="TOC Heading"/>
    <w:basedOn w:val="Heading1"/>
    <w:next w:val="BodyText"/>
    <w:uiPriority w:val="39"/>
    <w:unhideWhenUsed/>
    <w:qFormat/>
    <w:pPr>
      <w:spacing w:line="259" w:lineRule="auto"/>
      <w:outlineLvl w:val="9"/>
    </w:pPr>
    <w:rPr>
      <w:rFonts w:asciiTheme="majorHAnsi" w:eastAsiaTheme="majorEastAsia" w:hAnsiTheme="majorHAnsi" w:cstheme="majorBidi"/>
      <w:b w:val="0"/>
      <w:bCs w:val="0"/>
      <w:color w:val="365F91" w:themeColor="accent1" w:themeShade="BF"/>
    </w:rPr>
  </w:style>
  <w:style w:type="character" w:customStyle="1" w:styleId="Answer">
    <w:name w:val="Answer"/>
    <w:rPr>
      <w:rFonts w:ascii="Times New Roman" w:hAnsi="Times New Roman"/>
      <w:b/>
      <w:color w:val="1E6B32"/>
    </w:rPr>
  </w:style>
  <w:style w:type="paragraph" w:customStyle="1" w:styleId="KeyBox">
    <w:name w:val="Key Box"/>
    <w:basedOn w:val="Normal"/>
    <w:pPr>
      <w:pBdr>
        <w:left w:val="single" w:sz="18" w:space="6" w:color="000000"/>
      </w:pBdr>
      <w:shd w:val="clear" w:color="auto" w:fill="EFEFEF"/>
      <w:spacing w:after="40"/>
      <w:ind w:left="170"/>
    </w:pPr>
  </w:style>
  <w:style w:type="paragraph" w:customStyle="1" w:styleId="KeyBoxTitle">
    <w:name w:val="Key Box Title"/>
    <w:basedOn w:val="Normal"/>
    <w:pPr>
      <w:pBdr>
        <w:left w:val="single" w:sz="18" w:space="6" w:color="000000"/>
      </w:pBdr>
      <w:shd w:val="clear" w:color="auto" w:fill="E0E0E0"/>
      <w:spacing w:before="160" w:after="40"/>
      <w:ind w:left="170"/>
    </w:pPr>
    <w:rPr>
      <w:b/>
    </w:rPr>
  </w:style>
  <w:style w:type="paragraph" w:customStyle="1" w:styleId="Centered">
    <w:name w:val="Centered"/>
    <w:basedOn w:val="Normal"/>
    <w:pPr>
      <w:spacing w:after="160"/>
      <w:jc w:val="center"/>
    </w:pPr>
    <w:rPr>
      <w:sz w:val="30"/>
    </w:rPr>
  </w:style>
  <w:style w:type="paragraph" w:customStyle="1" w:styleId="EndNote">
    <w:name w:val="End Note"/>
    <w:basedOn w:val="Normal"/>
    <w:pPr>
      <w:spacing w:before="200"/>
      <w:jc w:val="center"/>
    </w:pPr>
    <w:rPr>
      <w:i/>
      <w:sz w:val="22"/>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orldbank.org/en/news/press-release/2024/07/01/the-world-bank-supports-food-security-and-climate-resilience-for-households-in-niger" TargetMode="External"/><Relationship Id="rId13" Type="http://schemas.openxmlformats.org/officeDocument/2006/relationships/hyperlink" Target="http://hdl.handle.net/10986/37620"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limate-impact-explorer.climateanalytics.org" TargetMode="External"/><Relationship Id="rId12" Type="http://schemas.openxmlformats.org/officeDocument/2006/relationships/hyperlink" Target="https://climate-impact-explorer.climateanalytics.or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hdl.handle.net/10986/37620"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climate-impact-explorer.climateanalytics.org"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worldbank.org/en/news/press-release/2024/07/01/the-world-bank-supports-food-security-and-climate-resilience-for-households-in-ni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871</Words>
  <Characters>4965</Characters>
  <Application>Microsoft Office Word</Application>
  <DocSecurity>0</DocSecurity>
  <Lines>41</Lines>
  <Paragraphs>11</Paragraphs>
  <ScaleCrop>false</ScaleCrop>
  <Company/>
  <LinksUpToDate>false</LinksUpToDate>
  <CharactersWithSpaces>5825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Limiting Climate Change Matters for Niger | Policy memo</dc:title>
  <dc:subject>Skill Up for Earth, Climate Solutions and Strategies, Assignment 1</dc:subject>
  <dc:creator>KOUAME Koffi Fidèle</dc:creator>
  <cp:keywords/>
  <cp:lastModifiedBy>Koffi Fidèle  KOUAME</cp:lastModifiedBy>
  <cp:revision>2</cp:revision>
  <dcterms:created xsi:type="dcterms:W3CDTF">2026-10-09T23:31:00Z</dcterms:created>
  <dcterms:modified xsi:type="dcterms:W3CDTF">2026-10-13T14:36:00Z</dcterms:modified>
</cp:coreProperties>
</file>