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B2D8F"/>
          <w:sz w:val="17"/>
        </w:rPr>
        <w:t>ACPROKIDS CODING CAMP · VISION PLÉNITUDES VIE</w:t>
      </w:r>
    </w:p>
    <w:p>
      <w:pPr>
        <w:spacing w:after="160"/>
      </w:pPr>
      <w:r>
        <w:rPr>
          <w:b/>
          <w:i w:val="0"/>
          <w:color w:val="666670"/>
          <w:sz w:val="18"/>
        </w:rPr>
        <w:t>PROGRAMME DE FORMATION — CODAGE PYTHON POUR LES JEUNES</w:t>
      </w:r>
    </w:p>
    <w:p>
      <w:pPr>
        <w:spacing w:after="80"/>
      </w:pPr>
      <w:r>
        <w:rPr>
          <w:b/>
          <w:i w:val="0"/>
          <w:color w:val="1A1A2E"/>
          <w:sz w:val="34"/>
        </w:rPr>
        <w:t>Programme des mois d'octobre et de novembre 2026</w:t>
      </w:r>
    </w:p>
    <w:p>
      <w:pPr>
        <w:spacing w:after="40"/>
      </w:pPr>
      <w:r>
        <w:rPr>
          <w:b/>
          <w:sz w:val="19"/>
        </w:rPr>
        <w:t>Sept séances, du samedi 17 octobre au samedi 28 novembre 2026</w:t>
      </w:r>
      <w:r>
        <w:rPr>
          <w:b w:val="0"/>
          <w:sz w:val="19"/>
        </w:rPr>
        <w:t xml:space="preserve">  ·  de 12 h à 14 h  ·  un enseignant par classe</w:t>
      </w:r>
    </w:p>
    <w:p>
      <w:pPr>
        <w:spacing w:after="240"/>
      </w:pPr>
      <w:r>
        <w:rPr>
          <w:b/>
          <w:sz w:val="19"/>
        </w:rPr>
        <w:t xml:space="preserve">Classes : </w:t>
      </w:r>
      <w:r>
        <w:rPr>
          <w:b w:val="0"/>
          <w:sz w:val="19"/>
        </w:rPr>
        <w:t>Jerusalem Geeks (9 – 12 ans) et Jeremiah Geeks (12 – 18 ans)</w:t>
      </w:r>
    </w:p>
    <w:p>
      <w:pPr>
        <w:spacing w:after="60"/>
      </w:pPr>
      <w:r>
        <w:rPr>
          <w:b/>
          <w:i w:val="0"/>
          <w:color w:val="1A1A2E"/>
          <w:sz w:val="21"/>
        </w:rPr>
        <w:t>Objet du présent document.</w:t>
      </w:r>
    </w:p>
    <w:p>
      <w:pPr>
        <w:spacing w:after="240"/>
      </w:pPr>
      <w:r>
        <w:rPr>
          <w:b w:val="0"/>
          <w:i w:val="0"/>
          <w:sz w:val="21"/>
        </w:rPr>
        <w:t>Ce document présente, pour information et pour archive, l'intégralité du programme des deux mois à venir. Les sept séances sont préparées : chacune dispose de son déroulé détaillé, de ses documents à imprimer, de son support de projection et du travail donné aux familles. Aucune décision n'est attendue de la direction ; le document est transmis afin que le programme soit connu, et qu'il puisse être communiqué aux parents qui en feraient la demande.</w:t>
      </w:r>
    </w:p>
    <w:p>
      <w:pPr>
        <w:spacing w:after="100"/>
      </w:pPr>
      <w:r>
        <w:rPr>
          <w:b/>
          <w:i w:val="0"/>
          <w:color w:val="1A1A2E"/>
          <w:sz w:val="23"/>
        </w:rPr>
        <w:t>1. OÙ EN SONT LES APPRENANTS AU 17 OCTOBRE</w:t>
      </w:r>
    </w:p>
    <w:p>
      <w:pPr>
        <w:spacing w:after="80"/>
      </w:pPr>
      <w:r>
        <w:rPr>
          <w:b w:val="0"/>
          <w:i w:val="0"/>
          <w:sz w:val="21"/>
        </w:rPr>
        <w:t>Cinq séances ont eu lieu depuis le 12 septembre. Les apprenants savent faire afficher un message par l'ordinateur, conserver une information dans une variable, poser une question au joueur, distinguer un texte d'un nombre, tenir un compteur, comparer deux valeurs et faire choisir le programme entre deux comportements. Ils savent également lire un message d'erreur, ce qui n'est pas la moindre des compétences.</w:t>
      </w:r>
    </w:p>
    <w:p>
      <w:pPr>
        <w:spacing w:after="240"/>
      </w:pPr>
      <w:r>
        <w:rPr>
          <w:b w:val="0"/>
          <w:i w:val="0"/>
          <w:sz w:val="21"/>
        </w:rPr>
        <w:t>Leur projet commun — le jeu de morpion, appelé jeu XO — accueille les deux joueurs, affiche un plateau numéroté, demande à chacun la case qu'il veut jouer, refuse une case qui n'existe pas et compte les coups valides. Il lui manque une chose : la mémoire. C'est par là que commencent les deux mois qui viennent.</w:t>
      </w:r>
    </w:p>
    <w:p>
      <w:pPr>
        <w:spacing w:after="100"/>
      </w:pPr>
      <w:r>
        <w:rPr>
          <w:b/>
          <w:i w:val="0"/>
          <w:color w:val="1A1A2E"/>
          <w:sz w:val="23"/>
        </w:rPr>
        <w:t>2. LES SEPT SÉANCES</w:t>
      </w:r>
    </w:p>
    <w:tbl>
      <w:tblPr>
        <w:tblStyle w:val="TableGrid"/>
        <w:tblW w:type="auto" w:w="0"/>
        <w:jc w:val="center"/>
        <w:tblLook w:firstColumn="1" w:firstRow="1" w:lastColumn="0" w:lastRow="0" w:noHBand="0" w:noVBand="1" w:val="04A0"/>
      </w:tblPr>
      <w:tblGrid>
        <w:gridCol w:w="1077"/>
        <w:gridCol w:w="2835"/>
        <w:gridCol w:w="2608"/>
        <w:gridCol w:w="3288"/>
      </w:tblGrid>
      <w:tr>
        <w:tc>
          <w:tcPr>
            <w:tcW w:type="dxa" w:w="2521"/>
            <w:shd w:val="clear" w:fill="EFEFF6"/>
          </w:tcPr>
          <w:p>
            <w:r/>
            <w:r>
              <w:rPr>
                <w:b/>
                <w:sz w:val="18"/>
              </w:rPr>
              <w:t>Date</w:t>
            </w:r>
          </w:p>
        </w:tc>
        <w:tc>
          <w:tcPr>
            <w:tcW w:type="dxa" w:w="2521"/>
            <w:shd w:val="clear" w:fill="EFEFF6"/>
          </w:tcPr>
          <w:p>
            <w:r/>
            <w:r>
              <w:rPr>
                <w:b/>
                <w:sz w:val="18"/>
              </w:rPr>
              <w:t>Séance</w:t>
            </w:r>
          </w:p>
        </w:tc>
        <w:tc>
          <w:tcPr>
            <w:tcW w:type="dxa" w:w="2521"/>
            <w:shd w:val="clear" w:fill="EFEFF6"/>
          </w:tcPr>
          <w:p>
            <w:r/>
            <w:r>
              <w:rPr>
                <w:b/>
                <w:sz w:val="18"/>
              </w:rPr>
              <w:t>Ce qui est enseigné</w:t>
            </w:r>
          </w:p>
        </w:tc>
        <w:tc>
          <w:tcPr>
            <w:tcW w:type="dxa" w:w="2521"/>
            <w:shd w:val="clear" w:fill="EFEFF6"/>
          </w:tcPr>
          <w:p>
            <w:r/>
            <w:r>
              <w:rPr>
                <w:b/>
                <w:sz w:val="18"/>
              </w:rPr>
              <w:t>Ce que le jeu sait faire à la fin</w:t>
            </w:r>
          </w:p>
        </w:tc>
      </w:tr>
      <w:tr>
        <w:tc>
          <w:tcPr>
            <w:tcW w:type="dxa" w:w="2521"/>
          </w:tcPr>
          <w:p>
            <w:r/>
            <w:r>
              <w:rPr>
                <w:b/>
                <w:sz w:val="18"/>
              </w:rPr>
              <w:t>17 oct</w:t>
            </w:r>
          </w:p>
        </w:tc>
        <w:tc>
          <w:tcPr>
            <w:tcW w:type="dxa" w:w="2521"/>
          </w:tcPr>
          <w:p>
            <w:r/>
            <w:r>
              <w:rPr>
                <w:sz w:val="18"/>
              </w:rPr>
              <w:t>Le plateau se souvient</w:t>
            </w:r>
          </w:p>
        </w:tc>
        <w:tc>
          <w:tcPr>
            <w:tcW w:type="dxa" w:w="2521"/>
          </w:tcPr>
          <w:p>
            <w:r/>
            <w:r>
              <w:rPr>
                <w:sz w:val="18"/>
              </w:rPr>
              <w:t>La liste, et le rang d'un élément</w:t>
            </w:r>
          </w:p>
        </w:tc>
        <w:tc>
          <w:tcPr>
            <w:tcW w:type="dxa" w:w="2521"/>
          </w:tcPr>
          <w:p>
            <w:r/>
            <w:r>
              <w:rPr>
                <w:sz w:val="18"/>
              </w:rPr>
              <w:t>Le symbole joué reste affiché</w:t>
            </w:r>
          </w:p>
        </w:tc>
      </w:tr>
      <w:tr>
        <w:tc>
          <w:tcPr>
            <w:tcW w:type="dxa" w:w="2521"/>
          </w:tcPr>
          <w:p>
            <w:r/>
            <w:r>
              <w:rPr>
                <w:b/>
                <w:sz w:val="18"/>
              </w:rPr>
              <w:t>24 oct</w:t>
            </w:r>
          </w:p>
        </w:tc>
        <w:tc>
          <w:tcPr>
            <w:tcW w:type="dxa" w:w="2521"/>
          </w:tcPr>
          <w:p>
            <w:r/>
            <w:r>
              <w:rPr>
                <w:sz w:val="18"/>
              </w:rPr>
              <w:t>On ne joue pas deux fois au même endroit</w:t>
            </w:r>
          </w:p>
        </w:tc>
        <w:tc>
          <w:tcPr>
            <w:tcW w:type="dxa" w:w="2521"/>
          </w:tcPr>
          <w:p>
            <w:r/>
            <w:r>
              <w:rPr>
                <w:sz w:val="18"/>
              </w:rPr>
              <w:t>La décision imbriquée</w:t>
            </w:r>
          </w:p>
        </w:tc>
        <w:tc>
          <w:tcPr>
            <w:tcW w:type="dxa" w:w="2521"/>
          </w:tcPr>
          <w:p>
            <w:r/>
            <w:r>
              <w:rPr>
                <w:sz w:val="18"/>
              </w:rPr>
              <w:t>Un coup sur une case prise est refusé</w:t>
            </w:r>
          </w:p>
        </w:tc>
      </w:tr>
      <w:tr>
        <w:tc>
          <w:tcPr>
            <w:tcW w:type="dxa" w:w="2521"/>
          </w:tcPr>
          <w:p>
            <w:r/>
            <w:r>
              <w:rPr>
                <w:b/>
                <w:sz w:val="18"/>
              </w:rPr>
              <w:t>31 oct</w:t>
            </w:r>
          </w:p>
        </w:tc>
        <w:tc>
          <w:tcPr>
            <w:tcW w:type="dxa" w:w="2521"/>
          </w:tcPr>
          <w:p>
            <w:r/>
            <w:r>
              <w:rPr>
                <w:sz w:val="18"/>
              </w:rPr>
              <w:t>Travaux pratiques n° 2</w:t>
            </w:r>
          </w:p>
        </w:tc>
        <w:tc>
          <w:tcPr>
            <w:tcW w:type="dxa" w:w="2521"/>
          </w:tcPr>
          <w:p>
            <w:r/>
            <w:r>
              <w:rPr>
                <w:sz w:val="18"/>
              </w:rPr>
              <w:t>Consolidation, deux heures en autonomie</w:t>
            </w:r>
          </w:p>
        </w:tc>
        <w:tc>
          <w:tcPr>
            <w:tcW w:type="dxa" w:w="2521"/>
          </w:tcPr>
          <w:p>
            <w:r/>
            <w:r>
              <w:rPr>
                <w:sz w:val="18"/>
              </w:rPr>
              <w:t>Quatre coups enchaînés sans anomalie</w:t>
            </w:r>
          </w:p>
        </w:tc>
      </w:tr>
      <w:tr>
        <w:tc>
          <w:tcPr>
            <w:tcW w:type="dxa" w:w="2521"/>
          </w:tcPr>
          <w:p>
            <w:r/>
            <w:r>
              <w:rPr>
                <w:b/>
                <w:sz w:val="18"/>
              </w:rPr>
              <w:t>7 nov</w:t>
            </w:r>
          </w:p>
        </w:tc>
        <w:tc>
          <w:tcPr>
            <w:tcW w:type="dxa" w:w="2521"/>
          </w:tcPr>
          <w:p>
            <w:r/>
            <w:r>
              <w:rPr>
                <w:sz w:val="18"/>
              </w:rPr>
              <w:t>Une seule question au lieu de trois</w:t>
            </w:r>
          </w:p>
        </w:tc>
        <w:tc>
          <w:tcPr>
            <w:tcW w:type="dxa" w:w="2521"/>
          </w:tcPr>
          <w:p>
            <w:r/>
            <w:r>
              <w:rPr>
                <w:sz w:val="18"/>
              </w:rPr>
              <w:t>Les opérateurs logiques</w:t>
            </w:r>
          </w:p>
        </w:tc>
        <w:tc>
          <w:tcPr>
            <w:tcW w:type="dxa" w:w="2521"/>
          </w:tcPr>
          <w:p>
            <w:r/>
            <w:r>
              <w:rPr>
                <w:sz w:val="18"/>
              </w:rPr>
              <w:t>La même décision, en deux fois moins de lignes</w:t>
            </w:r>
          </w:p>
        </w:tc>
      </w:tr>
      <w:tr>
        <w:tc>
          <w:tcPr>
            <w:tcW w:type="dxa" w:w="2521"/>
          </w:tcPr>
          <w:p>
            <w:r/>
            <w:r>
              <w:rPr>
                <w:b/>
                <w:sz w:val="18"/>
              </w:rPr>
              <w:t>14 nov</w:t>
            </w:r>
          </w:p>
        </w:tc>
        <w:tc>
          <w:tcPr>
            <w:tcW w:type="dxa" w:w="2521"/>
          </w:tcPr>
          <w:p>
            <w:r/>
            <w:r>
              <w:rPr>
                <w:sz w:val="18"/>
              </w:rPr>
              <w:t>Le jeu tourne tout seul</w:t>
            </w:r>
          </w:p>
        </w:tc>
        <w:tc>
          <w:tcPr>
            <w:tcW w:type="dxa" w:w="2521"/>
          </w:tcPr>
          <w:p>
            <w:r/>
            <w:r>
              <w:rPr>
                <w:sz w:val="18"/>
              </w:rPr>
              <w:t>La répétition</w:t>
            </w:r>
          </w:p>
        </w:tc>
        <w:tc>
          <w:tcPr>
            <w:tcW w:type="dxa" w:w="2521"/>
          </w:tcPr>
          <w:p>
            <w:r/>
            <w:r>
              <w:rPr>
                <w:sz w:val="18"/>
              </w:rPr>
              <w:t>Les neuf tours s'enchaînent, les joueurs alternent</w:t>
            </w:r>
          </w:p>
        </w:tc>
      </w:tr>
      <w:tr>
        <w:tc>
          <w:tcPr>
            <w:tcW w:type="dxa" w:w="2521"/>
          </w:tcPr>
          <w:p>
            <w:r/>
            <w:r>
              <w:rPr>
                <w:b/>
                <w:sz w:val="18"/>
              </w:rPr>
              <w:t>21 nov</w:t>
            </w:r>
          </w:p>
        </w:tc>
        <w:tc>
          <w:tcPr>
            <w:tcW w:type="dxa" w:w="2521"/>
          </w:tcPr>
          <w:p>
            <w:r/>
            <w:r>
              <w:rPr>
                <w:sz w:val="18"/>
              </w:rPr>
              <w:t>Le jeu sait qui gagne</w:t>
            </w:r>
          </w:p>
        </w:tc>
        <w:tc>
          <w:tcPr>
            <w:tcW w:type="dxa" w:w="2521"/>
          </w:tcPr>
          <w:p>
            <w:r/>
            <w:r>
              <w:rPr>
                <w:sz w:val="18"/>
              </w:rPr>
              <w:t>Les alignements gagnants, la fin de partie</w:t>
            </w:r>
          </w:p>
        </w:tc>
        <w:tc>
          <w:tcPr>
            <w:tcW w:type="dxa" w:w="2521"/>
          </w:tcPr>
          <w:p>
            <w:r/>
            <w:r>
              <w:rPr>
                <w:sz w:val="18"/>
              </w:rPr>
              <w:t>Une partie complète, avec un vainqueur</w:t>
            </w:r>
          </w:p>
        </w:tc>
      </w:tr>
      <w:tr>
        <w:tc>
          <w:tcPr>
            <w:tcW w:type="dxa" w:w="2521"/>
          </w:tcPr>
          <w:p>
            <w:r/>
            <w:r>
              <w:rPr>
                <w:b/>
                <w:sz w:val="18"/>
              </w:rPr>
              <w:t>28 nov</w:t>
            </w:r>
          </w:p>
        </w:tc>
        <w:tc>
          <w:tcPr>
            <w:tcW w:type="dxa" w:w="2521"/>
          </w:tcPr>
          <w:p>
            <w:r/>
            <w:r>
              <w:rPr>
                <w:sz w:val="18"/>
              </w:rPr>
              <w:t>Travaux pratiques n° 3 et tournoi</w:t>
            </w:r>
          </w:p>
        </w:tc>
        <w:tc>
          <w:tcPr>
            <w:tcW w:type="dxa" w:w="2521"/>
          </w:tcPr>
          <w:p>
            <w:r/>
            <w:r>
              <w:rPr>
                <w:sz w:val="18"/>
              </w:rPr>
              <w:t>Tests, finitions, tournoi de classe</w:t>
            </w:r>
          </w:p>
        </w:tc>
        <w:tc>
          <w:tcPr>
            <w:tcW w:type="dxa" w:w="2521"/>
          </w:tcPr>
          <w:p>
            <w:r/>
            <w:r>
              <w:rPr>
                <w:sz w:val="18"/>
              </w:rPr>
              <w:t>Le jeu est terminé et jouable</w:t>
            </w:r>
          </w:p>
        </w:tc>
      </w:tr>
    </w:tbl>
    <w:p>
      <w:pPr>
        <w:spacing w:after="160"/>
      </w:pPr>
      <w:r>
        <w:rPr>
          <w:b w:val="0"/>
          <w:i w:val="0"/>
          <w:sz w:val="12"/>
        </w:rPr>
      </w:r>
    </w:p>
    <w:p>
      <w:pPr>
        <w:spacing w:after="240"/>
      </w:pPr>
      <w:r>
        <w:rPr>
          <w:b w:val="0"/>
          <w:i w:val="0"/>
          <w:sz w:val="21"/>
        </w:rPr>
        <w:t>L'ordre n'est pas arbitraire. Chaque notion est introduite au moment où le projet en a besoin, et jamais avant : les apprenants rencontrent d'abord la difficulté, puis reçoivent l'outil qui la résout. Deux séances de travaux pratiques sont placées à dessein, la première après la notion la plus difficile des deux mois, la seconde à la fin, pour terminer et pour jouer.</w:t>
      </w:r>
    </w:p>
    <w:p>
      <w:pPr>
        <w:spacing w:after="100"/>
      </w:pPr>
      <w:r>
        <w:rPr>
          <w:b/>
          <w:i w:val="0"/>
          <w:color w:val="1A1A2E"/>
          <w:sz w:val="23"/>
        </w:rPr>
        <w:t>3. CE QUE LES APPRENANTS SAURONT FAIRE LE 28 NOVEMBRE</w:t>
      </w:r>
    </w:p>
    <w:p>
      <w:pPr>
        <w:pStyle w:val="ListBullet"/>
        <w:spacing w:after="60"/>
      </w:pPr>
      <w:r>
        <w:rPr>
          <w:b w:val="0"/>
          <w:sz w:val="21"/>
        </w:rPr>
        <w:t>Employer une liste, c'est-à-dire conserver plusieurs valeurs dans une seule variable, et en désigner une par son rang.</w:t>
      </w:r>
    </w:p>
    <w:p>
      <w:pPr>
        <w:pStyle w:val="ListBullet"/>
        <w:spacing w:after="60"/>
      </w:pPr>
      <w:r>
        <w:rPr>
          <w:b w:val="0"/>
          <w:sz w:val="21"/>
        </w:rPr>
        <w:t>Écrire une décision, y compris une décision placée à l'intérieur d'une autre, et combiner plusieurs conditions en une seule.</w:t>
      </w:r>
    </w:p>
    <w:p>
      <w:pPr>
        <w:pStyle w:val="ListBullet"/>
        <w:spacing w:after="60"/>
      </w:pPr>
      <w:r>
        <w:rPr>
          <w:b w:val="0"/>
          <w:sz w:val="21"/>
        </w:rPr>
        <w:t>Écrire une répétition, reconnaître une répétition qui ne s'arrête pas, et l'interrompre.</w:t>
      </w:r>
    </w:p>
    <w:p>
      <w:pPr>
        <w:pStyle w:val="ListBullet"/>
        <w:spacing w:after="60"/>
      </w:pPr>
      <w:r>
        <w:rPr>
          <w:b w:val="0"/>
          <w:sz w:val="21"/>
        </w:rPr>
        <w:t>Éprouver leur propre programme au moyen d'une liste de situations à essayer, et réparer ce qui ne fonctionne pas.</w:t>
      </w:r>
    </w:p>
    <w:p>
      <w:pPr>
        <w:pStyle w:val="ListBullet"/>
        <w:spacing w:after="60"/>
      </w:pPr>
      <w:r>
        <w:rPr>
          <w:b w:val="0"/>
          <w:sz w:val="21"/>
        </w:rPr>
        <w:t>Lire un message d'erreur et en déduire où regarder.</w:t>
      </w:r>
    </w:p>
    <w:p>
      <w:pPr>
        <w:spacing w:after="240"/>
      </w:pPr>
      <w:r>
        <w:rPr>
          <w:b w:val="0"/>
          <w:i w:val="0"/>
          <w:sz w:val="21"/>
        </w:rPr>
        <w:t>Chacun repartira avec un jeu de morpion complet, qu'il aura écrit lui-même et auquel ses camarades auront joué.</w:t>
      </w:r>
    </w:p>
    <w:p>
      <w:pPr>
        <w:spacing w:after="100"/>
      </w:pPr>
      <w:r>
        <w:rPr>
          <w:b/>
          <w:i w:val="0"/>
          <w:color w:val="1A1A2E"/>
          <w:sz w:val="23"/>
        </w:rPr>
        <w:t>4. LE TRAVAIL DONNÉ AUX FAMILLES</w:t>
      </w:r>
    </w:p>
    <w:p>
      <w:pPr>
        <w:spacing w:after="80"/>
      </w:pPr>
      <w:r>
        <w:rPr>
          <w:b w:val="0"/>
          <w:i w:val="0"/>
          <w:sz w:val="21"/>
        </w:rPr>
        <w:t>Un travail est envoyé chaque mercredi, à l'exception de la semaine des travaux pratiques. Il est proposé sous deux formes équivalentes, afin qu'aucun enfant ne soit écarté faute d'équipement :</w:t>
      </w:r>
    </w:p>
    <w:p>
      <w:pPr>
        <w:pStyle w:val="ListBullet"/>
        <w:spacing w:after="60"/>
      </w:pPr>
      <w:r>
        <w:rPr>
          <w:b/>
          <w:sz w:val="21"/>
        </w:rPr>
        <w:t>pour les familles disposant d'un ordinateur</w:t>
      </w:r>
      <w:r>
        <w:rPr>
          <w:b w:val="0"/>
          <w:sz w:val="21"/>
        </w:rPr>
        <w:t xml:space="preserve"> — un petit programme complet à écrire, environ une heure, avec une fiche d'instructions illustrée et son corrigé ; trois sont prévus sur les deux mois ;</w:t>
      </w:r>
    </w:p>
    <w:p>
      <w:pPr>
        <w:pStyle w:val="ListBullet"/>
        <w:spacing w:after="60"/>
      </w:pPr>
      <w:r>
        <w:rPr>
          <w:b/>
          <w:sz w:val="21"/>
        </w:rPr>
        <w:t>pour les autres</w:t>
      </w:r>
      <w:r>
        <w:rPr>
          <w:b w:val="0"/>
          <w:sz w:val="21"/>
        </w:rPr>
        <w:t xml:space="preserve"> — un questionnaire de quinze questions, à faire depuis un téléphone en vingt minutes, corrigé automatiquement, qui porte sur le même contenu ; six sont prévus.</w:t>
      </w:r>
    </w:p>
    <w:p>
      <w:pPr>
        <w:spacing w:after="240"/>
      </w:pPr>
      <w:r>
        <w:rPr>
          <w:b w:val="0"/>
          <w:i w:val="0"/>
          <w:sz w:val="21"/>
        </w:rPr>
        <w:t>Aucun de ces travaux n'entre dans une note. Ils servent à ce que la séance du samedi suivant puisse s'ouvrir, pour toute la classe, sur le même contenu. Les familles reçoivent avec chaque envoi un message les informant de ce qui est demandé et du temps à y consacrer.</w:t>
      </w:r>
    </w:p>
    <w:p>
      <w:pPr>
        <w:spacing w:after="100"/>
      </w:pPr>
      <w:r>
        <w:rPr>
          <w:b/>
          <w:i w:val="0"/>
          <w:color w:val="1A1A2E"/>
          <w:sz w:val="23"/>
        </w:rPr>
        <w:t>5. CE QUI EST DEMANDÉ À L'ÉCOLE</w:t>
      </w:r>
    </w:p>
    <w:tbl>
      <w:tblPr>
        <w:tblStyle w:val="TableGrid"/>
        <w:tblW w:type="auto" w:w="0"/>
        <w:jc w:val="center"/>
        <w:tblLook w:firstColumn="1" w:firstRow="1" w:lastColumn="0" w:lastRow="0" w:noHBand="0" w:noVBand="1" w:val="04A0"/>
      </w:tblPr>
      <w:tblGrid>
        <w:gridCol w:w="4762"/>
        <w:gridCol w:w="3175"/>
        <w:gridCol w:w="1871"/>
      </w:tblGrid>
      <w:tr>
        <w:tc>
          <w:tcPr>
            <w:tcW w:type="dxa" w:w="3362"/>
            <w:shd w:val="clear" w:fill="EFEFF6"/>
          </w:tcPr>
          <w:p>
            <w:r/>
            <w:r>
              <w:rPr>
                <w:b/>
                <w:sz w:val="18"/>
              </w:rPr>
              <w:t>Quoi</w:t>
            </w:r>
          </w:p>
        </w:tc>
        <w:tc>
          <w:tcPr>
            <w:tcW w:type="dxa" w:w="3362"/>
            <w:shd w:val="clear" w:fill="EFEFF6"/>
          </w:tcPr>
          <w:p>
            <w:r/>
            <w:r>
              <w:rPr>
                <w:b/>
                <w:sz w:val="18"/>
              </w:rPr>
              <w:t>Quand</w:t>
            </w:r>
          </w:p>
        </w:tc>
        <w:tc>
          <w:tcPr>
            <w:tcW w:type="dxa" w:w="3362"/>
            <w:shd w:val="clear" w:fill="EFEFF6"/>
          </w:tcPr>
          <w:p>
            <w:r/>
            <w:r>
              <w:rPr>
                <w:b/>
                <w:sz w:val="18"/>
              </w:rPr>
              <w:t>Quantité</w:t>
            </w:r>
          </w:p>
        </w:tc>
      </w:tr>
      <w:tr>
        <w:tc>
          <w:tcPr>
            <w:tcW w:type="dxa" w:w="3362"/>
          </w:tcPr>
          <w:p>
            <w:r/>
            <w:r>
              <w:rPr>
                <w:b/>
                <w:sz w:val="18"/>
              </w:rPr>
              <w:t>Photocopies : une fiche d'aide-mémoire d'une page</w:t>
            </w:r>
          </w:p>
        </w:tc>
        <w:tc>
          <w:tcPr>
            <w:tcW w:type="dxa" w:w="3362"/>
          </w:tcPr>
          <w:p>
            <w:r/>
            <w:r>
              <w:rPr>
                <w:sz w:val="18"/>
              </w:rPr>
              <w:t>Chaque séance de cours (5 fois)</w:t>
            </w:r>
          </w:p>
        </w:tc>
        <w:tc>
          <w:tcPr>
            <w:tcW w:type="dxa" w:w="3362"/>
          </w:tcPr>
          <w:p>
            <w:r/>
            <w:r>
              <w:rPr>
                <w:sz w:val="18"/>
              </w:rPr>
              <w:t>8 par classe</w:t>
            </w:r>
          </w:p>
        </w:tc>
      </w:tr>
      <w:tr>
        <w:tc>
          <w:tcPr>
            <w:tcW w:type="dxa" w:w="3362"/>
          </w:tcPr>
          <w:p>
            <w:r/>
            <w:r>
              <w:rPr>
                <w:b/>
                <w:sz w:val="18"/>
              </w:rPr>
              <w:t>Photocopies : le document de travaux pratiques</w:t>
            </w:r>
          </w:p>
        </w:tc>
        <w:tc>
          <w:tcPr>
            <w:tcW w:type="dxa" w:w="3362"/>
          </w:tcPr>
          <w:p>
            <w:r/>
            <w:r>
              <w:rPr>
                <w:sz w:val="18"/>
              </w:rPr>
              <w:t>31 octobre (4 pages) et 28 novembre (2 pages)</w:t>
            </w:r>
          </w:p>
        </w:tc>
        <w:tc>
          <w:tcPr>
            <w:tcW w:type="dxa" w:w="3362"/>
          </w:tcPr>
          <w:p>
            <w:r/>
            <w:r>
              <w:rPr>
                <w:sz w:val="18"/>
              </w:rPr>
              <w:t>8 par classe</w:t>
            </w:r>
          </w:p>
        </w:tc>
      </w:tr>
      <w:tr>
        <w:tc>
          <w:tcPr>
            <w:tcW w:type="dxa" w:w="3362"/>
          </w:tcPr>
          <w:p>
            <w:r/>
            <w:r>
              <w:rPr>
                <w:b/>
                <w:sz w:val="18"/>
              </w:rPr>
              <w:t>Une grande feuille pour le tableau du tournoi</w:t>
            </w:r>
          </w:p>
        </w:tc>
        <w:tc>
          <w:tcPr>
            <w:tcW w:type="dxa" w:w="3362"/>
          </w:tcPr>
          <w:p>
            <w:r/>
            <w:r>
              <w:rPr>
                <w:sz w:val="18"/>
              </w:rPr>
              <w:t>28 novembre</w:t>
            </w:r>
          </w:p>
        </w:tc>
        <w:tc>
          <w:tcPr>
            <w:tcW w:type="dxa" w:w="3362"/>
          </w:tcPr>
          <w:p>
            <w:r/>
            <w:r>
              <w:rPr>
                <w:sz w:val="18"/>
              </w:rPr>
              <w:t>1</w:t>
            </w:r>
          </w:p>
        </w:tc>
      </w:tr>
      <w:tr>
        <w:tc>
          <w:tcPr>
            <w:tcW w:type="dxa" w:w="3362"/>
          </w:tcPr>
          <w:p>
            <w:r/>
            <w:r>
              <w:rPr>
                <w:b/>
                <w:sz w:val="18"/>
              </w:rPr>
              <w:t>Un appareil photographique</w:t>
            </w:r>
          </w:p>
        </w:tc>
        <w:tc>
          <w:tcPr>
            <w:tcW w:type="dxa" w:w="3362"/>
          </w:tcPr>
          <w:p>
            <w:r/>
            <w:r>
              <w:rPr>
                <w:sz w:val="18"/>
              </w:rPr>
              <w:t>28 novembre</w:t>
            </w:r>
          </w:p>
        </w:tc>
        <w:tc>
          <w:tcPr>
            <w:tcW w:type="dxa" w:w="3362"/>
          </w:tcPr>
          <w:p>
            <w:r/>
            <w:r>
              <w:rPr>
                <w:sz w:val="18"/>
              </w:rPr>
              <w:t>1</w:t>
            </w:r>
          </w:p>
        </w:tc>
      </w:tr>
      <w:tr>
        <w:tc>
          <w:tcPr>
            <w:tcW w:type="dxa" w:w="3362"/>
          </w:tcPr>
          <w:p>
            <w:r/>
            <w:r>
              <w:rPr>
                <w:b/>
                <w:sz w:val="18"/>
              </w:rPr>
              <w:t>Postes de travail en état, avec Thonny installé</w:t>
            </w:r>
          </w:p>
        </w:tc>
        <w:tc>
          <w:tcPr>
            <w:tcW w:type="dxa" w:w="3362"/>
          </w:tcPr>
          <w:p>
            <w:r/>
            <w:r>
              <w:rPr>
                <w:sz w:val="18"/>
              </w:rPr>
              <w:t>Chaque séance</w:t>
            </w:r>
          </w:p>
        </w:tc>
        <w:tc>
          <w:tcPr>
            <w:tcW w:type="dxa" w:w="3362"/>
          </w:tcPr>
          <w:p>
            <w:r/>
            <w:r>
              <w:rPr>
                <w:sz w:val="18"/>
              </w:rPr>
              <w:t>1 par élève</w:t>
            </w:r>
          </w:p>
        </w:tc>
      </w:tr>
    </w:tbl>
    <w:p>
      <w:pPr>
        <w:spacing w:after="160"/>
      </w:pPr>
      <w:r>
        <w:rPr>
          <w:b w:val="0"/>
          <w:i w:val="0"/>
          <w:sz w:val="12"/>
        </w:rPr>
      </w:r>
    </w:p>
    <w:p>
      <w:pPr>
        <w:spacing w:after="240"/>
      </w:pPr>
      <w:r>
        <w:rPr>
          <w:b w:val="0"/>
          <w:i w:val="0"/>
          <w:sz w:val="21"/>
        </w:rPr>
        <w:t>Aucune dépense nouvelle n'est engagée. Le logiciel utilisé est gratuit et fonctionne sans connexion internet.</w:t>
      </w:r>
    </w:p>
    <w:p>
      <w:pPr>
        <w:spacing w:after="100"/>
      </w:pPr>
      <w:r>
        <w:rPr>
          <w:b/>
          <w:i w:val="0"/>
          <w:color w:val="1A1A2E"/>
          <w:sz w:val="23"/>
        </w:rPr>
        <w:t>6. SUIVI ET COMPTE RENDU</w:t>
      </w:r>
    </w:p>
    <w:p>
      <w:pPr>
        <w:spacing w:after="80"/>
      </w:pPr>
      <w:r>
        <w:rPr>
          <w:b w:val="0"/>
          <w:i w:val="0"/>
          <w:sz w:val="21"/>
        </w:rPr>
        <w:t>La présence, la production de chaque élève et les travaux rendus continuent d'être consignés après chaque séance dans le classeur de suivi. Les enseignants remplissent en outre, le soir même, un journal de trois questions qui détermine l'ouverture de la séance suivante.</w:t>
      </w:r>
    </w:p>
    <w:p>
      <w:pPr>
        <w:spacing w:after="280"/>
      </w:pPr>
      <w:r>
        <w:rPr>
          <w:b w:val="0"/>
          <w:i w:val="0"/>
          <w:sz w:val="21"/>
        </w:rPr>
        <w:t>Deux points d'étape écrits sont prévus pour la direction : le premier après la séance de travaux pratiques du 31 octobre, le second après le tournoi du 28 novembre. Ce dernier comportera le bilan des deux mois rempli par les élèves eux-mêmes, et les éléments qui détermineront le programme de décembre.</w:t>
      </w:r>
    </w:p>
    <w:p>
      <w:pPr>
        <w:spacing w:after="120"/>
      </w:pPr>
      <w:r>
        <w:rPr>
          <w:b w:val="0"/>
          <w:i/>
          <w:color w:val="666670"/>
          <w:sz w:val="18"/>
        </w:rPr>
        <w:t>Document établi le 17 octobre 2026 — AcProKids Coding Camp, Vision Plénitudes Vie.</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