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andara-bold.ttf" ContentType="application/x-font-ttf"/>
  <Override PartName="/word/fonts/Candara-boldItalic.ttf" ContentType="application/x-font-ttf"/>
  <Override PartName="/word/fonts/Candara-italic.ttf" ContentType="application/x-font-ttf"/>
  <Override PartName="/word/fonts/Candara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120" w:lineRule="auto"/>
        <w:jc w:val="center"/>
        <w:rPr/>
      </w:pPr>
      <w:r w:rsidDel="00000000" w:rsidR="00000000" w:rsidRPr="00000000">
        <w:rPr>
          <w:b w:val="1"/>
          <w:bCs w:val="1"/>
          <w:color w:val="1d3f5e"/>
          <w:sz w:val="38"/>
          <w:szCs w:val="38"/>
          <w:rtl w:val="0"/>
        </w:rPr>
        <w:t xml:space="preserve">RÈGLEMENT INTÉRIEUR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AcProKids Coding Camp — Formation des enfants à la programmation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cccccc" w:space="2" w:sz="6" w:val="single"/>
        </w:pBdr>
        <w:spacing w:after="160" w:lineRule="auto"/>
        <w:jc w:val="center"/>
        <w:rPr/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Jerusalem Geeks (9 – 12 ans)  ·  Jeremiah Geeks (12 – 18 ans)   |   Chaque samedi, de 12 h à 14 h   |   Tabernacle Sagesse Divine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jc w:val="both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Les apprenants du AcProKids Coding Camp ont été choisis pour être formés  à la programmation. Cette place est à la fois un privilège et un engagement : la formation est exigeante dans sa conduite, et elle demande à chacun du sérieux.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lineRule="auto"/>
        <w:jc w:val="both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Le présent règlement dit clairement ce que la formation attend de l'apprenant et de sa famille, et ce que l'équipe pédagogique s'engage à leur donner en retour.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cfe0d8" w:space="2" w:sz="4" w:val="single"/>
        </w:pBdr>
        <w:spacing w:after="60" w:before="200" w:lineRule="auto"/>
        <w:rPr/>
      </w:pPr>
      <w:r w:rsidDel="00000000" w:rsidR="00000000" w:rsidRPr="00000000">
        <w:rPr>
          <w:b w:val="1"/>
          <w:bCs w:val="1"/>
          <w:color w:val="356854"/>
          <w:sz w:val="22"/>
          <w:szCs w:val="22"/>
          <w:rtl w:val="0"/>
        </w:rPr>
        <w:t xml:space="preserve">Article 1 — Objet du règlement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Le présent règlement fixe les règles de fonctionnement, de discipline et d'assiduité du AcProKids Coding Camp. Il s'applique à tous les apprenants inscrits, à leurs parents et à l'équipe pédagogique, pendant toute la durée de la 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cfe0d8" w:space="2" w:sz="4" w:val="single"/>
        </w:pBdr>
        <w:spacing w:after="60" w:before="200" w:lineRule="auto"/>
        <w:rPr/>
      </w:pPr>
      <w:r w:rsidDel="00000000" w:rsidR="00000000" w:rsidRPr="00000000">
        <w:rPr>
          <w:b w:val="1"/>
          <w:bCs w:val="1"/>
          <w:color w:val="356854"/>
          <w:sz w:val="22"/>
          <w:szCs w:val="22"/>
          <w:rtl w:val="0"/>
        </w:rPr>
        <w:t xml:space="preserve">Article 2 — Participation financière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participation est de </w:t>
      </w: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50 DH par mois et par apprenant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. Elle est symbolique : elle couvre une partie du matériel, des impressions et des consommables.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Une difficulté de paiement ne prive jamais un enfant de la formation.</w:t>
      </w:r>
      <w:r w:rsidDel="00000000" w:rsidR="00000000" w:rsidRPr="00000000">
        <w:rPr>
          <w:rtl w:val="0"/>
        </w:rPr>
        <w:t xml:space="preserve"> Elle se signale à la coordination, se traite en privé.</w:t>
      </w:r>
    </w:p>
    <w:p w:rsidR="00000000" w:rsidDel="00000000" w:rsidP="00000000" w:rsidRDefault="00000000" w:rsidRPr="00000000" w14:paraId="0000000B">
      <w:pPr>
        <w:pBdr>
          <w:bottom w:color="cfe0d8" w:space="2" w:sz="4" w:val="single"/>
        </w:pBdr>
        <w:spacing w:after="60" w:before="200" w:lineRule="auto"/>
        <w:rPr/>
      </w:pPr>
      <w:r w:rsidDel="00000000" w:rsidR="00000000" w:rsidRPr="00000000">
        <w:rPr>
          <w:b w:val="1"/>
          <w:bCs w:val="1"/>
          <w:color w:val="356854"/>
          <w:sz w:val="22"/>
          <w:szCs w:val="22"/>
          <w:rtl w:val="0"/>
        </w:rPr>
        <w:t xml:space="preserve">Article 3 — Assiduité et ponctualité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  <w:t xml:space="preserve">La présence est attendue à </w:t>
      </w:r>
      <w:r w:rsidDel="00000000" w:rsidR="00000000" w:rsidRPr="00000000">
        <w:rPr>
          <w:b w:val="1"/>
          <w:bCs w:val="1"/>
          <w:rtl w:val="0"/>
        </w:rPr>
        <w:t xml:space="preserve">toutes</w:t>
      </w:r>
      <w:r w:rsidDel="00000000" w:rsidR="00000000" w:rsidRPr="00000000">
        <w:rPr>
          <w:rtl w:val="0"/>
        </w:rPr>
        <w:t xml:space="preserve"> les séances. L'apprenant se présente au plus tard à 12 h, prêt à commencer.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Toute </w:t>
      </w: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absence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et tout </w:t>
      </w: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retard de plus de 10 minutes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doivent être </w:t>
      </w: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signalés avant la séance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avec un motif.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Une absence ou un retard de plus de 10 minutes </w:t>
      </w: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non signalé et non justifié par un motif valable entraîne un avertissement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F">
      <w:pPr>
        <w:pBdr>
          <w:bottom w:color="cfe0d8" w:space="2" w:sz="4" w:val="single"/>
        </w:pBdr>
        <w:spacing w:after="60" w:before="200" w:lineRule="auto"/>
        <w:rPr/>
      </w:pPr>
      <w:r w:rsidDel="00000000" w:rsidR="00000000" w:rsidRPr="00000000">
        <w:rPr>
          <w:b w:val="1"/>
          <w:bCs w:val="1"/>
          <w:color w:val="356854"/>
          <w:sz w:val="22"/>
          <w:szCs w:val="22"/>
          <w:rtl w:val="0"/>
        </w:rPr>
        <w:t xml:space="preserve">Article 4 — Comportement, respect et 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  <w:t xml:space="preserve">La règle première de la salle est le respect : de l'enseignant, des camarades, du lieu et du matériel. Personne ne se moque de celui qui n'a pas compris ou qui va moins vite.</w:t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Entraîne un avertissement</w:t>
      </w:r>
      <w:r w:rsidDel="00000000" w:rsidR="00000000" w:rsidRPr="00000000">
        <w:rPr>
          <w:rtl w:val="0"/>
        </w:rPr>
        <w:t xml:space="preserve"> tout comportement d'indiscipline, notamment 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parler mal ou manquer de respect à un enseignant ou à un camarade 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moquer d'un camarade, l'humilier ou l'exclure 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être turbulent au point de gêner le travail des autres 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perturber le déroulement du cours de façon répétée 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refuser d'obéir à une consigne de l'enseignant.</w:t>
      </w:r>
    </w:p>
    <w:p w:rsidR="00000000" w:rsidDel="00000000" w:rsidP="00000000" w:rsidRDefault="00000000" w:rsidRPr="00000000" w14:paraId="00000017">
      <w:pPr>
        <w:pBdr>
          <w:bottom w:color="cfe0d8" w:space="2" w:sz="4" w:val="single"/>
        </w:pBdr>
        <w:spacing w:after="60" w:before="200" w:lineRule="auto"/>
        <w:rPr/>
      </w:pPr>
      <w:r w:rsidDel="00000000" w:rsidR="00000000" w:rsidRPr="00000000">
        <w:rPr>
          <w:b w:val="1"/>
          <w:bCs w:val="1"/>
          <w:color w:val="356854"/>
          <w:sz w:val="22"/>
          <w:szCs w:val="22"/>
          <w:rtl w:val="0"/>
        </w:rPr>
        <w:t xml:space="preserve">Article 5 — Diligence et travail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t xml:space="preserve">La diligence est l'application sérieuse au travail demandé </w:t>
      </w:r>
      <w:r w:rsidDel="00000000" w:rsidR="00000000" w:rsidRPr="00000000">
        <w:rPr>
          <w:b w:val="1"/>
          <w:bCs w:val="1"/>
          <w:rtl w:val="0"/>
        </w:rPr>
        <w:t xml:space="preserve">pendant la séance</w:t>
      </w:r>
      <w:r w:rsidDel="00000000" w:rsidR="00000000" w:rsidRPr="00000000">
        <w:rPr>
          <w:rtl w:val="0"/>
        </w:rPr>
        <w:t xml:space="preserve">. Elle se manifeste concrètement par le fait de :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Un manque de diligence répété, après rappel de l'enseignant, entraîne un avertissement.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cfe0d8" w:space="2" w:sz="4" w:val="single"/>
        </w:pBdr>
        <w:spacing w:after="60" w:before="200" w:lineRule="auto"/>
        <w:rPr/>
      </w:pPr>
      <w:r w:rsidDel="00000000" w:rsidR="00000000" w:rsidRPr="00000000">
        <w:rPr>
          <w:b w:val="1"/>
          <w:bCs w:val="1"/>
          <w:color w:val="356854"/>
          <w:sz w:val="22"/>
          <w:szCs w:val="22"/>
          <w:rtl w:val="0"/>
        </w:rPr>
        <w:t xml:space="preserve">Article 6 — Matériel et locaux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Les ordinateurs sont confiés aux apprenants : ils s'en servent uniquement pour ce qui est demandé en cours. Les jeux et la navigation hors consigne sont interdits.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Les téléphones restent éteints et rangés, sauf consigne contraire de l'enseignant.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Il est interdit de boire et de manger à proximité des machines.</w:t>
      </w:r>
    </w:p>
    <w:p w:rsidR="00000000" w:rsidDel="00000000" w:rsidP="00000000" w:rsidRDefault="00000000" w:rsidRPr="00000000" w14:paraId="0000001E">
      <w:pPr>
        <w:pBdr>
          <w:bottom w:color="cfe0d8" w:space="2" w:sz="4" w:val="single"/>
        </w:pBdr>
        <w:spacing w:after="60" w:before="200" w:lineRule="auto"/>
        <w:rPr/>
      </w:pPr>
      <w:r w:rsidDel="00000000" w:rsidR="00000000" w:rsidRPr="00000000">
        <w:rPr>
          <w:b w:val="1"/>
          <w:bCs w:val="1"/>
          <w:color w:val="356854"/>
          <w:sz w:val="22"/>
          <w:szCs w:val="22"/>
          <w:rtl w:val="0"/>
        </w:rPr>
        <w:t xml:space="preserve">Article 7 — Avertissements et exclusion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  <w:t xml:space="preserve">Le régime disciplinaire est simple, et il est connu de tous dès le premier jour.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Une observation verbale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est faite d'abord pour un premier écart léger. Elle </w:t>
      </w: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n'est pas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un avertissement : elle sert à corriger avant de sanctionner.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L'avertissement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est prononcé pour les manquements prévus aux articles 3, 4, 5 et 6.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Candara" w:cs="Candara" w:eastAsia="Candara" w:hAnsi="Candara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Au deuxième avertissement, l'apprenant est renvoyé de la formation.</w:t>
      </w:r>
      <w:r w:rsidDel="00000000" w:rsidR="00000000" w:rsidRPr="00000000">
        <w:rPr>
          <w:rFonts w:ascii="Candara" w:cs="Candara" w:eastAsia="Candara" w:hAnsi="Candar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L'exclusion est définitive.</w:t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  <w:t xml:space="preserve">L'exclusion est prononcée par la coordination de la formation, après information de la famille.</w:t>
      </w:r>
    </w:p>
    <w:p w:rsidR="00000000" w:rsidDel="00000000" w:rsidP="00000000" w:rsidRDefault="00000000" w:rsidRPr="00000000" w14:paraId="00000024">
      <w:pPr>
        <w:spacing w:before="200" w:lineRule="auto"/>
        <w:jc w:val="right"/>
        <w:rPr>
          <w:i w:val="1"/>
          <w:iCs w:val="1"/>
          <w:sz w:val="20"/>
          <w:szCs w:val="20"/>
        </w:rPr>
      </w:pPr>
      <w:bookmarkStart w:colFirst="0" w:colLast="0" w:name="_heading=h.tdxs0a1cix9a" w:id="0"/>
      <w:bookmarkEnd w:id="0"/>
      <w:r w:rsidDel="00000000" w:rsidR="00000000" w:rsidRPr="00000000">
        <w:rPr>
          <w:i w:val="1"/>
          <w:iCs w:val="1"/>
          <w:sz w:val="20"/>
          <w:szCs w:val="20"/>
          <w:u w:val="single"/>
          <w:rtl w:val="0"/>
        </w:rPr>
        <w:t xml:space="preserve">Dernière date de modification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: 16/09/2026</w:t>
      </w:r>
    </w:p>
    <w:p w:rsidR="00000000" w:rsidDel="00000000" w:rsidP="00000000" w:rsidRDefault="00000000" w:rsidRPr="00000000" w14:paraId="00000025">
      <w:pPr>
        <w:spacing w:before="200" w:lineRule="auto"/>
        <w:jc w:val="center"/>
        <w:rPr/>
      </w:pPr>
      <w:bookmarkStart w:colFirst="0" w:colLast="0" w:name="_heading=h.oqwjm7fnutuv" w:id="1"/>
      <w:bookmarkEnd w:id="1"/>
      <w:r w:rsidDel="00000000" w:rsidR="00000000" w:rsidRPr="00000000">
        <w:rPr>
          <w:i w:val="1"/>
          <w:iCs w:val="1"/>
          <w:color w:val="356854"/>
          <w:sz w:val="20"/>
          <w:szCs w:val="20"/>
          <w:rtl w:val="0"/>
        </w:rPr>
        <w:t xml:space="preserve">Ensemble pour leur avenir !</w:t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794" w:top="144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nda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ndara" w:cs="Candara" w:eastAsia="Candara" w:hAnsi="Candara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363855</wp:posOffset>
          </wp:positionH>
          <wp:positionV relativeFrom="paragraph">
            <wp:posOffset>-450849</wp:posOffset>
          </wp:positionV>
          <wp:extent cx="5886450" cy="904803"/>
          <wp:effectExtent b="0" l="0" r="0" t="0"/>
          <wp:wrapNone/>
          <wp:docPr id="2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886450" cy="90480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ndara" w:cs="Candara" w:eastAsia="Candara" w:hAnsi="Candara"/>
        <w:sz w:val="21"/>
        <w:szCs w:val="21"/>
        <w:lang w:val="fr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itre7">
    <w:name w:val="heading 7"/>
    <w:basedOn w:val="Normal"/>
    <w:next w:val="Normal"/>
    <w:link w:val="Titre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itre8">
    <w:name w:val="heading 8"/>
    <w:basedOn w:val="Normal"/>
    <w:next w:val="Normal"/>
    <w:link w:val="Titre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 w:val="1"/>
    <w:rsid w:val="00FC693F"/>
    <w:pPr>
      <w:spacing w:after="0" w:line="240" w:lineRule="auto"/>
    </w:pPr>
  </w:style>
  <w:style w:type="character" w:styleId="Titre1Car" w:customStyle="1">
    <w:name w:val="Titre 1 Car"/>
    <w:basedOn w:val="Policepardfaut"/>
    <w:link w:val="Titre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itre2Car" w:customStyle="1">
    <w:name w:val="Titre 2 Car"/>
    <w:basedOn w:val="Policepardfaut"/>
    <w:link w:val="Titre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itre3Car" w:customStyle="1">
    <w:name w:val="Titre 3 Car"/>
    <w:basedOn w:val="Policepardfaut"/>
    <w:link w:val="Titre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reCar" w:customStyle="1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ous-titreCar" w:customStyle="1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Corpsdetexte">
    <w:name w:val="Body Text"/>
    <w:basedOn w:val="Normal"/>
    <w:link w:val="CorpsdetexteCar"/>
    <w:uiPriority w:val="99"/>
    <w:unhideWhenUsed w:val="1"/>
    <w:rsid w:val="00AA1D8D"/>
    <w:pPr>
      <w:spacing w:after="120"/>
    </w:pPr>
  </w:style>
  <w:style w:type="character" w:styleId="CorpsdetexteCar" w:customStyle="1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 w:val="1"/>
    <w:rsid w:val="00AA1D8D"/>
    <w:pPr>
      <w:spacing w:after="120" w:line="480" w:lineRule="auto"/>
    </w:pPr>
  </w:style>
  <w:style w:type="character" w:styleId="Corpsdetexte2Car" w:customStyle="1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Corpsdetexte3Car" w:customStyle="1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e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e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epuce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epuce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epuce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enum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enum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enum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e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e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e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edemacro">
    <w:name w:val="macro"/>
    <w:link w:val="Textede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edemacroCar" w:customStyle="1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tionCar" w:customStyle="1">
    <w:name w:val="Citation Car"/>
    <w:basedOn w:val="Policepardfaut"/>
    <w:link w:val="Citation"/>
    <w:uiPriority w:val="29"/>
    <w:rsid w:val="00FC693F"/>
    <w:rPr>
      <w:i w:val="1"/>
      <w:iCs w:val="1"/>
      <w:color w:val="000000" w:themeColor="text1"/>
    </w:rPr>
  </w:style>
  <w:style w:type="character" w:styleId="Titre4Car" w:customStyle="1">
    <w:name w:val="Titre 4 Car"/>
    <w:basedOn w:val="Policepardfaut"/>
    <w:link w:val="Titre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itre5Car" w:customStyle="1">
    <w:name w:val="Titre 5 Car"/>
    <w:basedOn w:val="Policepardfaut"/>
    <w:link w:val="Titre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itre6Car" w:customStyle="1">
    <w:name w:val="Titre 6 Car"/>
    <w:basedOn w:val="Policepardfaut"/>
    <w:link w:val="Titre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itre7Car" w:customStyle="1">
    <w:name w:val="Titre 7 Car"/>
    <w:basedOn w:val="Policepardfaut"/>
    <w:link w:val="Titre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itre8Car" w:customStyle="1">
    <w:name w:val="Titre 8 Car"/>
    <w:basedOn w:val="Policepardfaut"/>
    <w:link w:val="Titre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itre9Car" w:customStyle="1">
    <w:name w:val="Titre 9 Car"/>
    <w:basedOn w:val="Policepardfaut"/>
    <w:link w:val="Titre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Lgende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 w:val="1"/>
    <w:rsid w:val="00FC693F"/>
    <w:rPr>
      <w:b w:val="1"/>
      <w:bCs w:val="1"/>
    </w:rPr>
  </w:style>
  <w:style w:type="character" w:styleId="Accentuation">
    <w:name w:val="Emphasis"/>
    <w:basedOn w:val="Policepardfaut"/>
    <w:uiPriority w:val="20"/>
    <w:qFormat w:val="1"/>
    <w:rsid w:val="00FC693F"/>
    <w:rPr>
      <w:i w:val="1"/>
      <w:iCs w:val="1"/>
    </w:rPr>
  </w:style>
  <w:style w:type="paragraph" w:styleId="Citationintense">
    <w:name w:val="Intense Quote"/>
    <w:basedOn w:val="Normal"/>
    <w:next w:val="Normal"/>
    <w:link w:val="Citationintense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tionintenseCar" w:customStyle="1">
    <w:name w:val="Citation intense Car"/>
    <w:basedOn w:val="Policepardfaut"/>
    <w:link w:val="Citationintens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ccentuationlgre">
    <w:name w:val="Subtle Emphasis"/>
    <w:basedOn w:val="Policepardfau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ccentuationintense">
    <w:name w:val="Intense Emphasis"/>
    <w:basedOn w:val="Policepardfau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frencelgre">
    <w:name w:val="Subtle Reference"/>
    <w:basedOn w:val="Policepardfau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En-ttedetabledesmatires">
    <w:name w:val="TOC Heading"/>
    <w:basedOn w:val="Titre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andara-regular.ttf"/><Relationship Id="rId2" Type="http://schemas.openxmlformats.org/officeDocument/2006/relationships/font" Target="fonts/Candara-bold.ttf"/><Relationship Id="rId3" Type="http://schemas.openxmlformats.org/officeDocument/2006/relationships/font" Target="fonts/Candara-italic.ttf"/><Relationship Id="rId4" Type="http://schemas.openxmlformats.org/officeDocument/2006/relationships/font" Target="fonts/Candara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nP8qg4lkIAhuXTkolcxEeRNoMA==">CgMxLjAyDmgudGR4czBhMWNpeDlhMg5oLm9xd2ptN2ZudXR1djgAciExeW1vZzJ2MTF6Nnc5OTZfVU0wUWhHR21MOUszV3dMZm8=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91da6505-0d75-4908-98b5-be6f694f0da4</vt:lpwstr>
  </property>
</Properties>
</file>