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Consulting Proposal – Filled Companion for Consulting.pptx</w:t>
      </w:r>
    </w:p>
    <w:p>
      <w:pPr>
        <w:jc w:val="center"/>
      </w:pPr>
      <w:r>
        <w:rPr>
          <w:i/>
        </w:rPr>
        <w:t>Prepared on: November 02, 2025</w:t>
      </w:r>
    </w:p>
    <w:p/>
    <w:p>
      <w:pPr>
        <w:pStyle w:val="Heading1"/>
      </w:pPr>
      <w:r>
        <w:t>1) Cover Slide</w:t>
      </w:r>
    </w:p>
    <w:p>
      <w:r>
        <w:t>Proposal Title: Enterprise Payroll Transformation</w:t>
      </w:r>
    </w:p>
    <w:p>
      <w:r>
        <w:t>Client / Organization: Acme Manufacturing Ltd.</w:t>
      </w:r>
    </w:p>
    <w:p>
      <w:r>
        <w:t>Prepared by: Papaya Global Consulting – Transformation Services</w:t>
      </w:r>
    </w:p>
    <w:p>
      <w:r>
        <w:t>Prepared for: Dana Morales, VP People Operations</w:t>
      </w:r>
    </w:p>
    <w:p>
      <w:r>
        <w:t>Version: v1.0</w:t>
      </w:r>
    </w:p>
    <w:p>
      <w:r>
        <w:t>Deck Date: November 2, 2025</w:t>
      </w:r>
    </w:p>
    <w:p>
      <w:pPr>
        <w:pStyle w:val="Heading1"/>
      </w:pPr>
      <w:r>
        <w:t>2) Overview / Executive Summary</w:t>
      </w:r>
    </w:p>
    <w:p>
      <w:r>
        <w:t>Acme Manufacturing operates across 12 countries with fragmented payroll, inconsistent compliance, and limited real-time visibility. This proposal consolidates payroll onto a single global platform with standardized processes, automated controls, and executive-ready analytics.</w:t>
      </w:r>
    </w:p>
    <w:p>
      <w:r>
        <w:t>Top Messages:</w:t>
      </w:r>
    </w:p>
    <w:p>
      <w:pPr>
        <w:pStyle w:val="ListBullet"/>
      </w:pPr>
      <w:r>
        <w:t>Consolidate 12-country payroll onto one global solution to lift accuracy, speed, and compliance.</w:t>
      </w:r>
    </w:p>
    <w:p>
      <w:pPr>
        <w:pStyle w:val="ListBullet"/>
      </w:pPr>
      <w:r>
        <w:t>Automate validations and integrations with ERP (NetSuite) and HCM (Workday) to cut manual touchpoints by &gt;60%.</w:t>
      </w:r>
    </w:p>
    <w:p>
      <w:pPr>
        <w:pStyle w:val="ListBullet"/>
      </w:pPr>
      <w:r>
        <w:t>Deliver a 6‑month phased deployment with measured outcomes and rigorous change management.</w:t>
      </w:r>
    </w:p>
    <w:p>
      <w:pPr>
        <w:pStyle w:val="ListBullet"/>
      </w:pPr>
      <w:r>
        <w:t>Expected ROI within 12 months via error reduction, avoided penalties, and lower cost per payslip.</w:t>
      </w:r>
    </w:p>
    <w:p>
      <w:pPr>
        <w:pStyle w:val="ListBullet"/>
      </w:pPr>
      <w:r>
        <w:t>Executive dashboards provide real-time payroll performance and compliance posture.</w:t>
      </w:r>
    </w:p>
    <w:p>
      <w:r>
        <w:t>Business context / background: Acme’s growth by acquisition created a patchwork of in‑country providers and spreadsheets. Finance and HR spend significant time reconciling variances and handling employee tickets.</w:t>
      </w:r>
    </w:p>
    <w:p>
      <w:r>
        <w:t>Current state summary (pain points): 7‑day close, 96.2% accuracy, 480 monthly payroll tickets, limited audit trail, and 6 compliance incidents in the past 12 months.</w:t>
      </w:r>
    </w:p>
    <w:p>
      <w:r>
        <w:t>Vision / desired future state: A unified global payroll with 99.8% accuracy, 2‑day close, zero preventable compliance incidents, and self‑service visibility for employees and managers.</w:t>
      </w:r>
    </w:p>
    <w:p>
      <w:r>
        <w:t>Success criteria: Accuracy ≥ 99.8%, on‑time payroll ≥ 99.9%, close time ≤ 2 business days, payroll ticket volume reduced by ≥ 75%, zero regulator findings in audits.</w:t>
      </w:r>
    </w:p>
    <w:p>
      <w:r>
        <w:t>Risks / constraints: Historic data quality, country‑specific legal nuances, change fatigue in plants, and dependency on timely ERP/HCM integration support.</w:t>
      </w:r>
    </w:p>
    <w:p>
      <w:pPr>
        <w:pStyle w:val="Heading1"/>
      </w:pPr>
      <w:r>
        <w:t>3) Understanding the Problem</w:t>
      </w:r>
    </w:p>
    <w:p>
      <w:pPr>
        <w:pStyle w:val="Heading2"/>
      </w:pPr>
      <w:r>
        <w:t>Item 1: Fragmented Providers &amp; Processes</w:t>
      </w:r>
    </w:p>
    <w:p>
      <w:r>
        <w:t>Problem statement: Multiple in‑country vendors with divergent calendars and file formats.</w:t>
      </w:r>
    </w:p>
    <w:p>
      <w:r>
        <w:t>Evidence / data points: 12 providers, 7 file templates, 14 manual handoffs; 2 missed tax filings in FY2025.</w:t>
      </w:r>
    </w:p>
    <w:p>
      <w:r>
        <w:t>Business impact: High rework, penalty risk, poor employee experience.</w:t>
      </w:r>
    </w:p>
    <w:p>
      <w:r>
        <w:t>Priority: High</w:t>
      </w:r>
    </w:p>
    <w:p>
      <w:r>
        <w:t>Owner / SME: Payroll Ops Lead – Jamie Chen</w:t>
      </w:r>
    </w:p>
    <w:p>
      <w:pPr>
        <w:pStyle w:val="Heading2"/>
      </w:pPr>
      <w:r>
        <w:t>Item 2: Manual Data Prep &amp; Controls</w:t>
      </w:r>
    </w:p>
    <w:p>
      <w:r>
        <w:t>Problem statement: Time‑intensive spreadsheets for pre‑pay validation and retro calculations.</w:t>
      </w:r>
    </w:p>
    <w:p>
      <w:r>
        <w:t>Evidence / data points: Average 22 hours per cycle on manual checks; 3% variance caught post‑pay.</w:t>
      </w:r>
    </w:p>
    <w:p>
      <w:r>
        <w:t>Business impact: Delayed close; inconsistent audit trail.</w:t>
      </w:r>
    </w:p>
    <w:p>
      <w:r>
        <w:t>Priority: High</w:t>
      </w:r>
    </w:p>
    <w:p>
      <w:r>
        <w:t>Owner / SME: Finance Shared Services – Martin Silva</w:t>
      </w:r>
    </w:p>
    <w:p>
      <w:pPr>
        <w:pStyle w:val="Heading2"/>
      </w:pPr>
      <w:r>
        <w:t>Item 3: Limited Visibility &amp; Analytics</w:t>
      </w:r>
    </w:p>
    <w:p>
      <w:r>
        <w:t>Problem statement: No unified dashboards; leadership relies on ad‑hoc reports.</w:t>
      </w:r>
    </w:p>
    <w:p>
      <w:r>
        <w:t>Evidence / data points: CFO receives consolidated payroll KPIs 10 days after month‑end.</w:t>
      </w:r>
    </w:p>
    <w:p>
      <w:r>
        <w:t>Business impact: Slow decisions; hard to forecast cash and accruals.</w:t>
      </w:r>
    </w:p>
    <w:p>
      <w:r>
        <w:t>Priority: Medium</w:t>
      </w:r>
    </w:p>
    <w:p>
      <w:r>
        <w:t>Owner / SME: People Analytics – Priya Shah</w:t>
      </w:r>
    </w:p>
    <w:p>
      <w:r>
        <w:t>Project Objective (SMART): By June 30, 2026, standardize and automate Acme’s payroll across 12 countries to achieve 99.8% accuracy, a ≤2‑day close, a ≥75% reduction in ticket volume, and an 18% decrease in cost per payslip, sustained for three consecutive cycles.</w:t>
      </w:r>
    </w:p>
    <w:p>
      <w:pPr>
        <w:pStyle w:val="Heading2"/>
      </w:pPr>
      <w:r>
        <w:t>Primary KPIs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KPI</w:t>
            </w:r>
          </w:p>
        </w:tc>
        <w:tc>
          <w:tcPr>
            <w:tcW w:type="dxa" w:w="2880"/>
          </w:tcPr>
          <w:p>
            <w:r>
              <w:t>Baseline (Oct 2025)</w:t>
            </w:r>
          </w:p>
        </w:tc>
        <w:tc>
          <w:tcPr>
            <w:tcW w:type="dxa" w:w="2880"/>
          </w:tcPr>
          <w:p>
            <w:r>
              <w:t>Target (Jun 2026)</w:t>
            </w:r>
          </w:p>
        </w:tc>
      </w:tr>
      <w:tr>
        <w:tc>
          <w:tcPr>
            <w:tcW w:type="dxa" w:w="2880"/>
          </w:tcPr>
          <w:p>
            <w:r>
              <w:t>Payroll accuracy</w:t>
            </w:r>
          </w:p>
        </w:tc>
        <w:tc>
          <w:tcPr>
            <w:tcW w:type="dxa" w:w="2880"/>
          </w:tcPr>
          <w:p>
            <w:r>
              <w:t>96.2%</w:t>
            </w:r>
          </w:p>
        </w:tc>
        <w:tc>
          <w:tcPr>
            <w:tcW w:type="dxa" w:w="2880"/>
          </w:tcPr>
          <w:p>
            <w:r>
              <w:t>≥99.8%</w:t>
            </w:r>
          </w:p>
        </w:tc>
      </w:tr>
      <w:tr>
        <w:tc>
          <w:tcPr>
            <w:tcW w:type="dxa" w:w="2880"/>
          </w:tcPr>
          <w:p>
            <w:r>
              <w:t>Close time</w:t>
            </w:r>
          </w:p>
        </w:tc>
        <w:tc>
          <w:tcPr>
            <w:tcW w:type="dxa" w:w="2880"/>
          </w:tcPr>
          <w:p>
            <w:r>
              <w:t>7 business days</w:t>
            </w:r>
          </w:p>
        </w:tc>
        <w:tc>
          <w:tcPr>
            <w:tcW w:type="dxa" w:w="2880"/>
          </w:tcPr>
          <w:p>
            <w:r>
              <w:t>≤2 business days</w:t>
            </w:r>
          </w:p>
        </w:tc>
      </w:tr>
      <w:tr>
        <w:tc>
          <w:tcPr>
            <w:tcW w:type="dxa" w:w="2880"/>
          </w:tcPr>
          <w:p>
            <w:r>
              <w:t>Tickets per month</w:t>
            </w:r>
          </w:p>
        </w:tc>
        <w:tc>
          <w:tcPr>
            <w:tcW w:type="dxa" w:w="2880"/>
          </w:tcPr>
          <w:p>
            <w:r>
              <w:t>480</w:t>
            </w:r>
          </w:p>
        </w:tc>
        <w:tc>
          <w:tcPr>
            <w:tcW w:type="dxa" w:w="2880"/>
          </w:tcPr>
          <w:p>
            <w:r>
              <w:t>≤120</w:t>
            </w:r>
          </w:p>
        </w:tc>
      </w:tr>
      <w:tr>
        <w:tc>
          <w:tcPr>
            <w:tcW w:type="dxa" w:w="2880"/>
          </w:tcPr>
          <w:p>
            <w:r>
              <w:t>Compliance incidents / yr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Employee NPS (payroll)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≥45</w:t>
            </w:r>
          </w:p>
        </w:tc>
      </w:tr>
    </w:tbl>
    <w:p>
      <w:pPr>
        <w:pStyle w:val="Heading1"/>
      </w:pPr>
      <w:r>
        <w:t>4) Understanding the Market</w:t>
      </w:r>
    </w:p>
    <w:p>
      <w:pPr>
        <w:pStyle w:val="Heading2"/>
      </w:pPr>
      <w:r>
        <w:t>4a) Target Audience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Segment / Persona</w:t>
            </w:r>
          </w:p>
        </w:tc>
        <w:tc>
          <w:tcPr>
            <w:tcW w:type="dxa" w:w="2880"/>
          </w:tcPr>
          <w:p>
            <w:r>
              <w:t>Needs / Jobs to be Done</w:t>
            </w:r>
          </w:p>
        </w:tc>
        <w:tc>
          <w:tcPr>
            <w:tcW w:type="dxa" w:w="2880"/>
          </w:tcPr>
          <w:p>
            <w:r>
              <w:t>Decision Role</w:t>
            </w:r>
          </w:p>
        </w:tc>
      </w:tr>
      <w:tr>
        <w:tc>
          <w:tcPr>
            <w:tcW w:type="dxa" w:w="2880"/>
          </w:tcPr>
          <w:p>
            <w:r>
              <w:t>VP People Ops</w:t>
            </w:r>
          </w:p>
        </w:tc>
        <w:tc>
          <w:tcPr>
            <w:tcW w:type="dxa" w:w="2880"/>
          </w:tcPr>
          <w:p>
            <w:r>
              <w:t>Reliable on‑time payroll; fewer escalations; policy standardization</w:t>
            </w:r>
          </w:p>
        </w:tc>
        <w:tc>
          <w:tcPr>
            <w:tcW w:type="dxa" w:w="2880"/>
          </w:tcPr>
          <w:p>
            <w:r>
              <w:t>Economic buyer</w:t>
            </w:r>
          </w:p>
        </w:tc>
      </w:tr>
      <w:tr>
        <w:tc>
          <w:tcPr>
            <w:tcW w:type="dxa" w:w="2880"/>
          </w:tcPr>
          <w:p>
            <w:r>
              <w:t>Payroll Managers (Country)</w:t>
            </w:r>
          </w:p>
        </w:tc>
        <w:tc>
          <w:tcPr>
            <w:tcW w:type="dxa" w:w="2880"/>
          </w:tcPr>
          <w:p>
            <w:r>
              <w:t>Country compliance, easy exception handling</w:t>
            </w:r>
          </w:p>
        </w:tc>
        <w:tc>
          <w:tcPr>
            <w:tcW w:type="dxa" w:w="2880"/>
          </w:tcPr>
          <w:p>
            <w:r>
              <w:t>Influencer</w:t>
            </w:r>
          </w:p>
        </w:tc>
      </w:tr>
      <w:tr>
        <w:tc>
          <w:tcPr>
            <w:tcW w:type="dxa" w:w="2880"/>
          </w:tcPr>
          <w:p>
            <w:r>
              <w:t>Finance Controller</w:t>
            </w:r>
          </w:p>
        </w:tc>
        <w:tc>
          <w:tcPr>
            <w:tcW w:type="dxa" w:w="2880"/>
          </w:tcPr>
          <w:p>
            <w:r>
              <w:t>Accrual accuracy; faster close; cash forecasting</w:t>
            </w:r>
          </w:p>
        </w:tc>
        <w:tc>
          <w:tcPr>
            <w:tcW w:type="dxa" w:w="2880"/>
          </w:tcPr>
          <w:p>
            <w:r>
              <w:t>Co‑sponsor</w:t>
            </w:r>
          </w:p>
        </w:tc>
      </w:tr>
      <w:tr>
        <w:tc>
          <w:tcPr>
            <w:tcW w:type="dxa" w:w="2880"/>
          </w:tcPr>
          <w:p>
            <w:r>
              <w:t>Plant Managers</w:t>
            </w:r>
          </w:p>
        </w:tc>
        <w:tc>
          <w:tcPr>
            <w:tcW w:type="dxa" w:w="2880"/>
          </w:tcPr>
          <w:p>
            <w:r>
              <w:t>Fewer pay queries; shift premium accuracy</w:t>
            </w:r>
          </w:p>
        </w:tc>
        <w:tc>
          <w:tcPr>
            <w:tcW w:type="dxa" w:w="2880"/>
          </w:tcPr>
          <w:p>
            <w:r>
              <w:t>Influencer</w:t>
            </w:r>
          </w:p>
        </w:tc>
      </w:tr>
      <w:tr>
        <w:tc>
          <w:tcPr>
            <w:tcW w:type="dxa" w:w="2880"/>
          </w:tcPr>
          <w:p>
            <w:r>
              <w:t>Employees</w:t>
            </w:r>
          </w:p>
        </w:tc>
        <w:tc>
          <w:tcPr>
            <w:tcW w:type="dxa" w:w="2880"/>
          </w:tcPr>
          <w:p>
            <w:r>
              <w:t>Self‑service visibility; fast issue resolution</w:t>
            </w:r>
          </w:p>
        </w:tc>
        <w:tc>
          <w:tcPr>
            <w:tcW w:type="dxa" w:w="2880"/>
          </w:tcPr>
          <w:p>
            <w:r>
              <w:t>End‑user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TAM / SAM Snapshot</w:t>
            </w:r>
          </w:p>
        </w:tc>
        <w:tc>
          <w:tcPr>
            <w:tcW w:type="dxa" w:w="2880"/>
          </w:tcPr>
          <w:p>
            <w:r>
              <w:t>Geographies</w:t>
            </w:r>
          </w:p>
        </w:tc>
        <w:tc>
          <w:tcPr>
            <w:tcW w:type="dxa" w:w="2880"/>
          </w:tcPr>
          <w:p>
            <w:r>
              <w:t>Headcount</w:t>
            </w:r>
          </w:p>
        </w:tc>
      </w:tr>
      <w:tr>
        <w:tc>
          <w:tcPr>
            <w:tcW w:type="dxa" w:w="2880"/>
          </w:tcPr>
          <w:p>
            <w:r>
              <w:t>Mid‑market global manufacturers using multiple providers</w:t>
            </w:r>
          </w:p>
        </w:tc>
        <w:tc>
          <w:tcPr>
            <w:tcW w:type="dxa" w:w="2880"/>
          </w:tcPr>
          <w:p>
            <w:r>
              <w:t>EMEA, LATAM, APAC, NA (12 countries)</w:t>
            </w:r>
          </w:p>
        </w:tc>
        <w:tc>
          <w:tcPr>
            <w:tcW w:type="dxa" w:w="2880"/>
          </w:tcPr>
          <w:p>
            <w:r>
              <w:t>~5,400 employees</w:t>
            </w:r>
          </w:p>
        </w:tc>
      </w:tr>
    </w:tbl>
    <w:p>
      <w:pPr>
        <w:pStyle w:val="Heading2"/>
      </w:pPr>
      <w:r>
        <w:t>4b) Competition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Competitor</w:t>
            </w:r>
          </w:p>
        </w:tc>
        <w:tc>
          <w:tcPr>
            <w:tcW w:type="dxa" w:w="1728"/>
          </w:tcPr>
          <w:p>
            <w:r>
              <w:t>Offering / Product</w:t>
            </w:r>
          </w:p>
        </w:tc>
        <w:tc>
          <w:tcPr>
            <w:tcW w:type="dxa" w:w="1728"/>
          </w:tcPr>
          <w:p>
            <w:r>
              <w:t>Strengths</w:t>
            </w:r>
          </w:p>
        </w:tc>
        <w:tc>
          <w:tcPr>
            <w:tcW w:type="dxa" w:w="1728"/>
          </w:tcPr>
          <w:p>
            <w:r>
              <w:t>Weaknesses</w:t>
            </w:r>
          </w:p>
        </w:tc>
        <w:tc>
          <w:tcPr>
            <w:tcW w:type="dxa" w:w="1728"/>
          </w:tcPr>
          <w:p>
            <w:r>
              <w:t>Our Differentiation</w:t>
            </w:r>
          </w:p>
        </w:tc>
      </w:tr>
      <w:tr>
        <w:tc>
          <w:tcPr>
            <w:tcW w:type="dxa" w:w="1728"/>
          </w:tcPr>
          <w:p>
            <w:r>
              <w:t>Legacy Vendor A</w:t>
            </w:r>
          </w:p>
        </w:tc>
        <w:tc>
          <w:tcPr>
            <w:tcW w:type="dxa" w:w="1728"/>
          </w:tcPr>
          <w:p>
            <w:r>
              <w:t>Regional payroll + bureau services</w:t>
            </w:r>
          </w:p>
        </w:tc>
        <w:tc>
          <w:tcPr>
            <w:tcW w:type="dxa" w:w="1728"/>
          </w:tcPr>
          <w:p>
            <w:r>
              <w:t>Deep local expertise</w:t>
            </w:r>
          </w:p>
        </w:tc>
        <w:tc>
          <w:tcPr>
            <w:tcW w:type="dxa" w:w="1728"/>
          </w:tcPr>
          <w:p>
            <w:r>
              <w:t>Weak integrations; limited analytics</w:t>
            </w:r>
          </w:p>
        </w:tc>
        <w:tc>
          <w:tcPr>
            <w:tcW w:type="dxa" w:w="1728"/>
          </w:tcPr>
          <w:p>
            <w:r>
              <w:t>Unified platform with robust APIs and dashboards</w:t>
            </w:r>
          </w:p>
        </w:tc>
      </w:tr>
      <w:tr>
        <w:tc>
          <w:tcPr>
            <w:tcW w:type="dxa" w:w="1728"/>
          </w:tcPr>
          <w:p>
            <w:r>
              <w:t>In‑Country Networks</w:t>
            </w:r>
          </w:p>
        </w:tc>
        <w:tc>
          <w:tcPr>
            <w:tcW w:type="dxa" w:w="1728"/>
          </w:tcPr>
          <w:p>
            <w:r>
              <w:t>Country‑specific bureaus</w:t>
            </w:r>
          </w:p>
        </w:tc>
        <w:tc>
          <w:tcPr>
            <w:tcW w:type="dxa" w:w="1728"/>
          </w:tcPr>
          <w:p>
            <w:r>
              <w:t>Local compliance depth</w:t>
            </w:r>
          </w:p>
        </w:tc>
        <w:tc>
          <w:tcPr>
            <w:tcW w:type="dxa" w:w="1728"/>
          </w:tcPr>
          <w:p>
            <w:r>
              <w:t>Fragmented contracts/processes</w:t>
            </w:r>
          </w:p>
        </w:tc>
        <w:tc>
          <w:tcPr>
            <w:tcW w:type="dxa" w:w="1728"/>
          </w:tcPr>
          <w:p>
            <w:r>
              <w:t>Single contract, single process, multi‑country coverage</w:t>
            </w:r>
          </w:p>
        </w:tc>
      </w:tr>
      <w:tr>
        <w:tc>
          <w:tcPr>
            <w:tcW w:type="dxa" w:w="1728"/>
          </w:tcPr>
          <w:p>
            <w:r>
              <w:t>DIY ERP Payroll</w:t>
            </w:r>
          </w:p>
        </w:tc>
        <w:tc>
          <w:tcPr>
            <w:tcW w:type="dxa" w:w="1728"/>
          </w:tcPr>
          <w:p>
            <w:r>
              <w:t>ERP-native payroll modules</w:t>
            </w:r>
          </w:p>
        </w:tc>
        <w:tc>
          <w:tcPr>
            <w:tcW w:type="dxa" w:w="1728"/>
          </w:tcPr>
          <w:p>
            <w:r>
              <w:t>Single system of record</w:t>
            </w:r>
          </w:p>
        </w:tc>
        <w:tc>
          <w:tcPr>
            <w:tcW w:type="dxa" w:w="1728"/>
          </w:tcPr>
          <w:p>
            <w:r>
              <w:t>Complex country rollouts; slow change</w:t>
            </w:r>
          </w:p>
        </w:tc>
        <w:tc>
          <w:tcPr>
            <w:tcW w:type="dxa" w:w="1728"/>
          </w:tcPr>
          <w:p>
            <w:r>
              <w:t>Prebuilt connectors and faster country activation</w:t>
            </w:r>
          </w:p>
        </w:tc>
      </w:tr>
    </w:tbl>
    <w:p>
      <w:pPr>
        <w:pStyle w:val="Heading1"/>
      </w:pPr>
      <w:r>
        <w:t>5) Market Trends</w:t>
      </w:r>
    </w:p>
    <w:p>
      <w:pPr>
        <w:pStyle w:val="Heading2"/>
      </w:pPr>
      <w:r>
        <w:t>Trend 1</w:t>
      </w:r>
    </w:p>
    <w:p>
      <w:r>
        <w:t>Trend description: Consolidation from multi‑vendor payroll to global platforms</w:t>
      </w:r>
    </w:p>
    <w:p>
      <w:r>
        <w:t>Data source / link: Analyst coverage and industry surveys (2024–2025)</w:t>
      </w:r>
    </w:p>
    <w:p>
      <w:r>
        <w:t>Magnitude / trajectory: &gt;40% of mid‑market globals plan consolidation by 2027</w:t>
      </w:r>
    </w:p>
    <w:p>
      <w:r>
        <w:t>Client implications: Acme can leverage scale, standard controls, and contract simplicity.</w:t>
      </w:r>
    </w:p>
    <w:p/>
    <w:p>
      <w:pPr>
        <w:pStyle w:val="Heading2"/>
      </w:pPr>
      <w:r>
        <w:t>Trend 2</w:t>
      </w:r>
    </w:p>
    <w:p>
      <w:r>
        <w:t>Trend description: Real‑time pay and self‑service analytics</w:t>
      </w:r>
    </w:p>
    <w:p>
      <w:r>
        <w:t>Data source / link: Analyst coverage and industry surveys (2024–2025)</w:t>
      </w:r>
    </w:p>
    <w:p>
      <w:r>
        <w:t>Magnitude / trajectory: Adoption accelerating as finance seeks near‑real‑time accruals</w:t>
      </w:r>
    </w:p>
    <w:p>
      <w:r>
        <w:t>Client implications: Deploy manager/employee dashboards and pre‑pay variance alerts.</w:t>
      </w:r>
    </w:p>
    <w:p/>
    <w:p>
      <w:pPr>
        <w:pStyle w:val="Heading1"/>
      </w:pPr>
      <w:r>
        <w:t>6) Trend Analysis &amp; Findings</w:t>
      </w:r>
    </w:p>
    <w:p>
      <w:pPr>
        <w:pStyle w:val="ListBullet"/>
      </w:pPr>
      <w:r>
        <w:t>Global consolidation reduces error pathways and contract overhead.</w:t>
      </w:r>
    </w:p>
    <w:p>
      <w:pPr>
        <w:pStyle w:val="ListBullet"/>
      </w:pPr>
      <w:r>
        <w:t>Automation of pre‑pay checks materially shortens close time and cuts tickets.</w:t>
      </w:r>
    </w:p>
    <w:p>
      <w:pPr>
        <w:pStyle w:val="ListBullet"/>
      </w:pPr>
      <w:r>
        <w:t>Dashboards increase confidence in accruals and compliance posture.</w:t>
      </w:r>
    </w:p>
    <w:p>
      <w:r>
        <w:t>Illustrative time-series for charted slide: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Payroll errors / 1k payslips</w:t>
            </w:r>
          </w:p>
        </w:tc>
        <w:tc>
          <w:tcPr>
            <w:tcW w:type="dxa" w:w="2160"/>
          </w:tcPr>
          <w:p>
            <w:r>
              <w:t>Countries consolidated</w:t>
            </w:r>
          </w:p>
        </w:tc>
        <w:tc>
          <w:tcPr>
            <w:tcW w:type="dxa" w:w="2160"/>
          </w:tcPr>
          <w:p>
            <w:r>
              <w:t>% on self‑service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7.5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35%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48%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57%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65%</w:t>
            </w:r>
          </w:p>
        </w:tc>
      </w:tr>
      <w:tr>
        <w:tc>
          <w:tcPr>
            <w:tcW w:type="dxa" w:w="2160"/>
          </w:tcPr>
          <w:p>
            <w:r>
              <w:t>2026 (target)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80%</w:t>
            </w:r>
          </w:p>
        </w:tc>
      </w:tr>
    </w:tbl>
    <w:p>
      <w:pPr>
        <w:pStyle w:val="Heading1"/>
      </w:pPr>
      <w:r>
        <w:t>7) Proposed Deliverables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Deliverable #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Description / Scope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Acceptance Criteria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Current‑State Assessment</w:t>
            </w:r>
          </w:p>
        </w:tc>
        <w:tc>
          <w:tcPr>
            <w:tcW w:type="dxa" w:w="1728"/>
          </w:tcPr>
          <w:p>
            <w:r>
              <w:t>Process maps, risk/controls review, data quality baseline</w:t>
            </w:r>
          </w:p>
        </w:tc>
        <w:tc>
          <w:tcPr>
            <w:tcW w:type="dxa" w:w="1728"/>
          </w:tcPr>
          <w:p>
            <w:r>
              <w:t>Engagement Lead</w:t>
            </w:r>
          </w:p>
        </w:tc>
        <w:tc>
          <w:tcPr>
            <w:tcW w:type="dxa" w:w="1728"/>
          </w:tcPr>
          <w:p>
            <w:r>
              <w:t>Approved by VP People Ops and Controller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Business Case &amp; Roadmap</w:t>
            </w:r>
          </w:p>
        </w:tc>
        <w:tc>
          <w:tcPr>
            <w:tcW w:type="dxa" w:w="1728"/>
          </w:tcPr>
          <w:p>
            <w:r>
              <w:t>ROI model, KPIs, rollout plan across 12 countries</w:t>
            </w:r>
          </w:p>
        </w:tc>
        <w:tc>
          <w:tcPr>
            <w:tcW w:type="dxa" w:w="1728"/>
          </w:tcPr>
          <w:p>
            <w:r>
              <w:t>Finance Lead</w:t>
            </w:r>
          </w:p>
        </w:tc>
        <w:tc>
          <w:tcPr>
            <w:tcW w:type="dxa" w:w="1728"/>
          </w:tcPr>
          <w:p>
            <w:r>
              <w:t>Finance sign‑off; ROI ≥ 18% YoY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Global Payroll Blueprint</w:t>
            </w:r>
          </w:p>
        </w:tc>
        <w:tc>
          <w:tcPr>
            <w:tcW w:type="dxa" w:w="1728"/>
          </w:tcPr>
          <w:p>
            <w:r>
              <w:t>Standard operating model, integrations, control framework</w:t>
            </w:r>
          </w:p>
        </w:tc>
        <w:tc>
          <w:tcPr>
            <w:tcW w:type="dxa" w:w="1728"/>
          </w:tcPr>
          <w:p>
            <w:r>
              <w:t>Solution Architect</w:t>
            </w:r>
          </w:p>
        </w:tc>
        <w:tc>
          <w:tcPr>
            <w:tcW w:type="dxa" w:w="1728"/>
          </w:tcPr>
          <w:p>
            <w:r>
              <w:t>Design review passed; security sign‑off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Implementation Plan &amp; Playbooks</w:t>
            </w:r>
          </w:p>
        </w:tc>
        <w:tc>
          <w:tcPr>
            <w:tcW w:type="dxa" w:w="1728"/>
          </w:tcPr>
          <w:p>
            <w:r>
              <w:t>Cutover, testing, change, country activation runbooks</w:t>
            </w:r>
          </w:p>
        </w:tc>
        <w:tc>
          <w:tcPr>
            <w:tcW w:type="dxa" w:w="1728"/>
          </w:tcPr>
          <w:p>
            <w:r>
              <w:t>Program Manager</w:t>
            </w:r>
          </w:p>
        </w:tc>
        <w:tc>
          <w:tcPr>
            <w:tcW w:type="dxa" w:w="1728"/>
          </w:tcPr>
          <w:p>
            <w:r>
              <w:t>All playbooks piloted and approved</w:t>
            </w:r>
          </w:p>
        </w:tc>
      </w:tr>
    </w:tbl>
    <w:p>
      <w:pPr>
        <w:pStyle w:val="Heading1"/>
      </w:pPr>
      <w:r>
        <w:t>8) Timeline &amp; Deployment</w:t>
      </w:r>
    </w:p>
    <w:p>
      <w:r>
        <w:t>A 6‑month phased deployment with overlapping workstreams.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Phase</w:t>
            </w:r>
          </w:p>
        </w:tc>
        <w:tc>
          <w:tcPr>
            <w:tcW w:type="dxa" w:w="1440"/>
          </w:tcPr>
          <w:p>
            <w:r>
              <w:t>Start Date</w:t>
            </w:r>
          </w:p>
        </w:tc>
        <w:tc>
          <w:tcPr>
            <w:tcW w:type="dxa" w:w="1440"/>
          </w:tcPr>
          <w:p>
            <w:r>
              <w:t>End Date</w:t>
            </w:r>
          </w:p>
        </w:tc>
        <w:tc>
          <w:tcPr>
            <w:tcW w:type="dxa" w:w="1440"/>
          </w:tcPr>
          <w:p>
            <w:r>
              <w:t>Key Milestones</w:t>
            </w:r>
          </w:p>
        </w:tc>
        <w:tc>
          <w:tcPr>
            <w:tcW w:type="dxa" w:w="1440"/>
          </w:tcPr>
          <w:p>
            <w:r>
              <w:t>Dependencies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</w:tr>
      <w:tr>
        <w:tc>
          <w:tcPr>
            <w:tcW w:type="dxa" w:w="1440"/>
          </w:tcPr>
          <w:p>
            <w:r>
              <w:t>Deployment</w:t>
            </w:r>
          </w:p>
        </w:tc>
        <w:tc>
          <w:tcPr>
            <w:tcW w:type="dxa" w:w="1440"/>
          </w:tcPr>
          <w:p>
            <w:r>
              <w:t>2025‑12‑01</w:t>
            </w:r>
          </w:p>
        </w:tc>
        <w:tc>
          <w:tcPr>
            <w:tcW w:type="dxa" w:w="1440"/>
          </w:tcPr>
          <w:p>
            <w:r>
              <w:t>2026‑01‑31</w:t>
            </w:r>
          </w:p>
        </w:tc>
        <w:tc>
          <w:tcPr>
            <w:tcW w:type="dxa" w:w="1440"/>
          </w:tcPr>
          <w:p>
            <w:r>
              <w:t>Platform provisioning; security &amp; SSO; data extracts</w:t>
            </w:r>
          </w:p>
        </w:tc>
        <w:tc>
          <w:tcPr>
            <w:tcW w:type="dxa" w:w="1440"/>
          </w:tcPr>
          <w:p>
            <w:r>
              <w:t>SSO/IT approvals; data access</w:t>
            </w:r>
          </w:p>
        </w:tc>
        <w:tc>
          <w:tcPr>
            <w:tcW w:type="dxa" w:w="1440"/>
          </w:tcPr>
          <w:p>
            <w:r>
              <w:t>Solution Architect</w:t>
            </w:r>
          </w:p>
        </w:tc>
      </w:tr>
      <w:tr>
        <w:tc>
          <w:tcPr>
            <w:tcW w:type="dxa" w:w="1440"/>
          </w:tcPr>
          <w:p>
            <w:r>
              <w:t>In‑production services</w:t>
            </w:r>
          </w:p>
        </w:tc>
        <w:tc>
          <w:tcPr>
            <w:tcW w:type="dxa" w:w="1440"/>
          </w:tcPr>
          <w:p>
            <w:r>
              <w:t>2026‑02‑01</w:t>
            </w:r>
          </w:p>
        </w:tc>
        <w:tc>
          <w:tcPr>
            <w:tcW w:type="dxa" w:w="1440"/>
          </w:tcPr>
          <w:p>
            <w:r>
              <w:t>2026‑03‑15</w:t>
            </w:r>
          </w:p>
        </w:tc>
        <w:tc>
          <w:tcPr>
            <w:tcW w:type="dxa" w:w="1440"/>
          </w:tcPr>
          <w:p>
            <w:r>
              <w:t>Country pilots (3); parallel runs; defect triage</w:t>
            </w:r>
          </w:p>
        </w:tc>
        <w:tc>
          <w:tcPr>
            <w:tcW w:type="dxa" w:w="1440"/>
          </w:tcPr>
          <w:p>
            <w:r>
              <w:t>Country payroll calendars; UAT resources</w:t>
            </w:r>
          </w:p>
        </w:tc>
        <w:tc>
          <w:tcPr>
            <w:tcW w:type="dxa" w:w="1440"/>
          </w:tcPr>
          <w:p>
            <w:r>
              <w:t>Country Payroll Leads</w:t>
            </w:r>
          </w:p>
        </w:tc>
      </w:tr>
      <w:tr>
        <w:tc>
          <w:tcPr>
            <w:tcW w:type="dxa" w:w="1440"/>
          </w:tcPr>
          <w:p>
            <w:r>
              <w:t>Global go‑live</w:t>
            </w:r>
          </w:p>
        </w:tc>
        <w:tc>
          <w:tcPr>
            <w:tcW w:type="dxa" w:w="1440"/>
          </w:tcPr>
          <w:p>
            <w:r>
              <w:t>2026‑03‑16</w:t>
            </w:r>
          </w:p>
        </w:tc>
        <w:tc>
          <w:tcPr>
            <w:tcW w:type="dxa" w:w="1440"/>
          </w:tcPr>
          <w:p>
            <w:r>
              <w:t>2026‑04‑30</w:t>
            </w:r>
          </w:p>
        </w:tc>
        <w:tc>
          <w:tcPr>
            <w:tcW w:type="dxa" w:w="1440"/>
          </w:tcPr>
          <w:p>
            <w:r>
              <w:t>Cutover; first consolidated cycle; hypercare</w:t>
            </w:r>
          </w:p>
        </w:tc>
        <w:tc>
          <w:tcPr>
            <w:tcW w:type="dxa" w:w="1440"/>
          </w:tcPr>
          <w:p>
            <w:r>
              <w:t>Pilot success; sign‑offs</w:t>
            </w:r>
          </w:p>
        </w:tc>
        <w:tc>
          <w:tcPr>
            <w:tcW w:type="dxa" w:w="1440"/>
          </w:tcPr>
          <w:p>
            <w:r>
              <w:t>Program Manager</w:t>
            </w:r>
          </w:p>
        </w:tc>
      </w:tr>
      <w:tr>
        <w:tc>
          <w:tcPr>
            <w:tcW w:type="dxa" w:w="1440"/>
          </w:tcPr>
          <w:p>
            <w:r>
              <w:t>Advanced projects</w:t>
            </w:r>
          </w:p>
        </w:tc>
        <w:tc>
          <w:tcPr>
            <w:tcW w:type="dxa" w:w="1440"/>
          </w:tcPr>
          <w:p>
            <w:r>
              <w:t>2026‑05‑01</w:t>
            </w:r>
          </w:p>
        </w:tc>
        <w:tc>
          <w:tcPr>
            <w:tcW w:type="dxa" w:w="1440"/>
          </w:tcPr>
          <w:p>
            <w:r>
              <w:t>2026‑06‑30</w:t>
            </w:r>
          </w:p>
        </w:tc>
        <w:tc>
          <w:tcPr>
            <w:tcW w:type="dxa" w:w="1440"/>
          </w:tcPr>
          <w:p>
            <w:r>
              <w:t>Analytics dashboards; pre‑pay automation; EWA pilots</w:t>
            </w:r>
          </w:p>
        </w:tc>
        <w:tc>
          <w:tcPr>
            <w:tcW w:type="dxa" w:w="1440"/>
          </w:tcPr>
          <w:p>
            <w:r>
              <w:t>Data model finalized; finance alignment</w:t>
            </w:r>
          </w:p>
        </w:tc>
        <w:tc>
          <w:tcPr>
            <w:tcW w:type="dxa" w:w="1440"/>
          </w:tcPr>
          <w:p>
            <w:r>
              <w:t>People Analytics Lead</w:t>
            </w:r>
          </w:p>
        </w:tc>
      </w:tr>
    </w:tbl>
    <w:p>
      <w:r>
        <w:t>Case studies referenced:</w:t>
      </w:r>
    </w:p>
    <w:p>
      <w:pPr>
        <w:pStyle w:val="ListBullet"/>
      </w:pPr>
      <w:r>
        <w:t>Global machinery firm reduced close time from 6 days to 2 and eliminated 95% of post‑pay corrections within 2 cycles.</w:t>
      </w:r>
    </w:p>
    <w:p>
      <w:pPr>
        <w:pStyle w:val="ListBullet"/>
      </w:pPr>
      <w:r>
        <w:t>Regional consumer goods company consolidated 8 countries, achieving 21% cost‑per‑payslip reduction in year one.</w:t>
      </w:r>
    </w:p>
    <w:p>
      <w:pPr>
        <w:pStyle w:val="Heading1"/>
      </w:pPr>
      <w:r>
        <w:t>9) The Team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Name</w:t>
            </w:r>
          </w:p>
        </w:tc>
        <w:tc>
          <w:tcPr>
            <w:tcW w:type="dxa" w:w="1234"/>
          </w:tcPr>
          <w:p>
            <w:r>
              <w:t>Role</w:t>
            </w:r>
          </w:p>
        </w:tc>
        <w:tc>
          <w:tcPr>
            <w:tcW w:type="dxa" w:w="1234"/>
          </w:tcPr>
          <w:p>
            <w:r>
              <w:t>Bio (1–2 lines)</w:t>
            </w:r>
          </w:p>
        </w:tc>
        <w:tc>
          <w:tcPr>
            <w:tcW w:type="dxa" w:w="1234"/>
          </w:tcPr>
          <w:p>
            <w:r>
              <w:t>Responsibilities</w:t>
            </w:r>
          </w:p>
        </w:tc>
        <w:tc>
          <w:tcPr>
            <w:tcW w:type="dxa" w:w="1234"/>
          </w:tcPr>
          <w:p>
            <w:r>
              <w:t>Time Allocation %</w:t>
            </w:r>
          </w:p>
        </w:tc>
        <w:tc>
          <w:tcPr>
            <w:tcW w:type="dxa" w:w="1234"/>
          </w:tcPr>
          <w:p>
            <w:r>
              <w:t>Location / Timezone</w:t>
            </w:r>
          </w:p>
        </w:tc>
        <w:tc>
          <w:tcPr>
            <w:tcW w:type="dxa" w:w="1234"/>
          </w:tcPr>
          <w:p>
            <w:r>
              <w:t>Contact</w:t>
            </w:r>
          </w:p>
        </w:tc>
      </w:tr>
      <w:tr>
        <w:tc>
          <w:tcPr>
            <w:tcW w:type="dxa" w:w="1234"/>
          </w:tcPr>
          <w:p>
            <w:r>
              <w:t>Alex Morgan</w:t>
            </w:r>
          </w:p>
        </w:tc>
        <w:tc>
          <w:tcPr>
            <w:tcW w:type="dxa" w:w="1234"/>
          </w:tcPr>
          <w:p>
            <w:r>
              <w:t>Engagement Lead</w:t>
            </w:r>
          </w:p>
        </w:tc>
        <w:tc>
          <w:tcPr>
            <w:tcW w:type="dxa" w:w="1234"/>
          </w:tcPr>
          <w:p>
            <w:r>
              <w:t>15+ yrs payroll &amp; shared services transformation</w:t>
            </w:r>
          </w:p>
        </w:tc>
        <w:tc>
          <w:tcPr>
            <w:tcW w:type="dxa" w:w="1234"/>
          </w:tcPr>
          <w:p>
            <w:r>
              <w:t>Sponsor alignment; overall delivery</w:t>
            </w:r>
          </w:p>
        </w:tc>
        <w:tc>
          <w:tcPr>
            <w:tcW w:type="dxa" w:w="1234"/>
          </w:tcPr>
          <w:p>
            <w:r>
              <w:t>40%</w:t>
            </w:r>
          </w:p>
        </w:tc>
        <w:tc>
          <w:tcPr>
            <w:tcW w:type="dxa" w:w="1234"/>
          </w:tcPr>
          <w:p>
            <w:r>
              <w:t>London, GMT</w:t>
            </w:r>
          </w:p>
        </w:tc>
        <w:tc>
          <w:tcPr>
            <w:tcW w:type="dxa" w:w="1234"/>
          </w:tcPr>
          <w:p>
            <w:r>
              <w:t>alex.morgan@example.com</w:t>
            </w:r>
          </w:p>
        </w:tc>
      </w:tr>
      <w:tr>
        <w:tc>
          <w:tcPr>
            <w:tcW w:type="dxa" w:w="1234"/>
          </w:tcPr>
          <w:p>
            <w:r>
              <w:t>Noura Haddad</w:t>
            </w:r>
          </w:p>
        </w:tc>
        <w:tc>
          <w:tcPr>
            <w:tcW w:type="dxa" w:w="1234"/>
          </w:tcPr>
          <w:p>
            <w:r>
              <w:t>Solution Architect</w:t>
            </w:r>
          </w:p>
        </w:tc>
        <w:tc>
          <w:tcPr>
            <w:tcW w:type="dxa" w:w="1234"/>
          </w:tcPr>
          <w:p>
            <w:r>
              <w:t>Global payroll design &amp; integrations</w:t>
            </w:r>
          </w:p>
        </w:tc>
        <w:tc>
          <w:tcPr>
            <w:tcW w:type="dxa" w:w="1234"/>
          </w:tcPr>
          <w:p>
            <w:r>
              <w:t>Platform design; security &amp; SSO</w:t>
            </w:r>
          </w:p>
        </w:tc>
        <w:tc>
          <w:tcPr>
            <w:tcW w:type="dxa" w:w="1234"/>
          </w:tcPr>
          <w:p>
            <w:r>
              <w:t>25%</w:t>
            </w:r>
          </w:p>
        </w:tc>
        <w:tc>
          <w:tcPr>
            <w:tcW w:type="dxa" w:w="1234"/>
          </w:tcPr>
          <w:p>
            <w:r>
              <w:t>Tel Aviv, IST</w:t>
            </w:r>
          </w:p>
        </w:tc>
        <w:tc>
          <w:tcPr>
            <w:tcW w:type="dxa" w:w="1234"/>
          </w:tcPr>
          <w:p>
            <w:r>
              <w:t>noura.haddad@example.com</w:t>
            </w:r>
          </w:p>
        </w:tc>
      </w:tr>
      <w:tr>
        <w:tc>
          <w:tcPr>
            <w:tcW w:type="dxa" w:w="1234"/>
          </w:tcPr>
          <w:p>
            <w:r>
              <w:t>Diego Alvarez</w:t>
            </w:r>
          </w:p>
        </w:tc>
        <w:tc>
          <w:tcPr>
            <w:tcW w:type="dxa" w:w="1234"/>
          </w:tcPr>
          <w:p>
            <w:r>
              <w:t>Payroll SME</w:t>
            </w:r>
          </w:p>
        </w:tc>
        <w:tc>
          <w:tcPr>
            <w:tcW w:type="dxa" w:w="1234"/>
          </w:tcPr>
          <w:p>
            <w:r>
              <w:t>Country compliance &amp; controls</w:t>
            </w:r>
          </w:p>
        </w:tc>
        <w:tc>
          <w:tcPr>
            <w:tcW w:type="dxa" w:w="1234"/>
          </w:tcPr>
          <w:p>
            <w:r>
              <w:t>Country playbooks; testing</w:t>
            </w:r>
          </w:p>
        </w:tc>
        <w:tc>
          <w:tcPr>
            <w:tcW w:type="dxa" w:w="1234"/>
          </w:tcPr>
          <w:p>
            <w:r>
              <w:t>20%</w:t>
            </w:r>
          </w:p>
        </w:tc>
        <w:tc>
          <w:tcPr>
            <w:tcW w:type="dxa" w:w="1234"/>
          </w:tcPr>
          <w:p>
            <w:r>
              <w:t>Madrid, CET</w:t>
            </w:r>
          </w:p>
        </w:tc>
        <w:tc>
          <w:tcPr>
            <w:tcW w:type="dxa" w:w="1234"/>
          </w:tcPr>
          <w:p>
            <w:r>
              <w:t>diego.alvarez@example.com</w:t>
            </w:r>
          </w:p>
        </w:tc>
      </w:tr>
      <w:tr>
        <w:tc>
          <w:tcPr>
            <w:tcW w:type="dxa" w:w="1234"/>
          </w:tcPr>
          <w:p>
            <w:r>
              <w:t>Mei Lin</w:t>
            </w:r>
          </w:p>
        </w:tc>
        <w:tc>
          <w:tcPr>
            <w:tcW w:type="dxa" w:w="1234"/>
          </w:tcPr>
          <w:p>
            <w:r>
              <w:t>Change Manager</w:t>
            </w:r>
          </w:p>
        </w:tc>
        <w:tc>
          <w:tcPr>
            <w:tcW w:type="dxa" w:w="1234"/>
          </w:tcPr>
          <w:p>
            <w:r>
              <w:t>Change, comms, training</w:t>
            </w:r>
          </w:p>
        </w:tc>
        <w:tc>
          <w:tcPr>
            <w:tcW w:type="dxa" w:w="1234"/>
          </w:tcPr>
          <w:p>
            <w:r>
              <w:t>Stakeholder plan; training assets</w:t>
            </w:r>
          </w:p>
        </w:tc>
        <w:tc>
          <w:tcPr>
            <w:tcW w:type="dxa" w:w="1234"/>
          </w:tcPr>
          <w:p>
            <w:r>
              <w:t>25%</w:t>
            </w:r>
          </w:p>
        </w:tc>
        <w:tc>
          <w:tcPr>
            <w:tcW w:type="dxa" w:w="1234"/>
          </w:tcPr>
          <w:p>
            <w:r>
              <w:t>Singapore, SGT</w:t>
            </w:r>
          </w:p>
        </w:tc>
        <w:tc>
          <w:tcPr>
            <w:tcW w:type="dxa" w:w="1234"/>
          </w:tcPr>
          <w:p>
            <w:r>
              <w:t>mei.lin@example.com</w:t>
            </w:r>
          </w:p>
        </w:tc>
      </w:tr>
      <w:tr>
        <w:tc>
          <w:tcPr>
            <w:tcW w:type="dxa" w:w="1234"/>
          </w:tcPr>
          <w:p>
            <w:r>
              <w:t>Rohan Gupta</w:t>
            </w:r>
          </w:p>
        </w:tc>
        <w:tc>
          <w:tcPr>
            <w:tcW w:type="dxa" w:w="1234"/>
          </w:tcPr>
          <w:p>
            <w:r>
              <w:t>Data Engineer</w:t>
            </w:r>
          </w:p>
        </w:tc>
        <w:tc>
          <w:tcPr>
            <w:tcW w:type="dxa" w:w="1234"/>
          </w:tcPr>
          <w:p>
            <w:r>
              <w:t>Data migration &amp; validation</w:t>
            </w:r>
          </w:p>
        </w:tc>
        <w:tc>
          <w:tcPr>
            <w:tcW w:type="dxa" w:w="1234"/>
          </w:tcPr>
          <w:p>
            <w:r>
              <w:t>Extract/transform/load; data QA</w:t>
            </w:r>
          </w:p>
        </w:tc>
        <w:tc>
          <w:tcPr>
            <w:tcW w:type="dxa" w:w="1234"/>
          </w:tcPr>
          <w:p>
            <w:r>
              <w:t>30%</w:t>
            </w:r>
          </w:p>
        </w:tc>
        <w:tc>
          <w:tcPr>
            <w:tcW w:type="dxa" w:w="1234"/>
          </w:tcPr>
          <w:p>
            <w:r>
              <w:t>Bengaluru, IST</w:t>
            </w:r>
          </w:p>
        </w:tc>
        <w:tc>
          <w:tcPr>
            <w:tcW w:type="dxa" w:w="1234"/>
          </w:tcPr>
          <w:p>
            <w:r>
              <w:t>rohan.gupta@example.com</w:t>
            </w:r>
          </w:p>
        </w:tc>
      </w:tr>
      <w:tr>
        <w:tc>
          <w:tcPr>
            <w:tcW w:type="dxa" w:w="1234"/>
          </w:tcPr>
          <w:p>
            <w:r>
              <w:t>Sara Kim</w:t>
            </w:r>
          </w:p>
        </w:tc>
        <w:tc>
          <w:tcPr>
            <w:tcW w:type="dxa" w:w="1234"/>
          </w:tcPr>
          <w:p>
            <w:r>
              <w:t>Program Manager</w:t>
            </w:r>
          </w:p>
        </w:tc>
        <w:tc>
          <w:tcPr>
            <w:tcW w:type="dxa" w:w="1234"/>
          </w:tcPr>
          <w:p>
            <w:r>
              <w:t>PMO &amp; risk management</w:t>
            </w:r>
          </w:p>
        </w:tc>
        <w:tc>
          <w:tcPr>
            <w:tcW w:type="dxa" w:w="1234"/>
          </w:tcPr>
          <w:p>
            <w:r>
              <w:t>Plan; RAID; status &amp; governance</w:t>
            </w:r>
          </w:p>
        </w:tc>
        <w:tc>
          <w:tcPr>
            <w:tcW w:type="dxa" w:w="1234"/>
          </w:tcPr>
          <w:p>
            <w:r>
              <w:t>40%</w:t>
            </w:r>
          </w:p>
        </w:tc>
        <w:tc>
          <w:tcPr>
            <w:tcW w:type="dxa" w:w="1234"/>
          </w:tcPr>
          <w:p>
            <w:r>
              <w:t>New York, ET</w:t>
            </w:r>
          </w:p>
        </w:tc>
        <w:tc>
          <w:tcPr>
            <w:tcW w:type="dxa" w:w="1234"/>
          </w:tcPr>
          <w:p>
            <w:r>
              <w:t>sara.kim@example.com</w:t>
            </w:r>
          </w:p>
        </w:tc>
      </w:tr>
    </w:tbl>
    <w:p>
      <w:pPr>
        <w:pStyle w:val="Heading1"/>
      </w:pPr>
      <w:r>
        <w:t>10) Approvals &amp; Logistics (Internal)</w:t>
      </w:r>
    </w:p>
    <w:p>
      <w:r>
        <w:t>Decision makers for sign‑off: VP People Ops (People), Controller (Finance), CIO (Integrations).</w:t>
      </w:r>
    </w:p>
    <w:p>
      <w:r>
        <w:t>Review cadence: Weekly working session; bi‑weekly steering committee; executive checkpoint each phase end.</w:t>
      </w:r>
    </w:p>
    <w:p>
      <w:r>
        <w:t>Branding &amp; legal: Use Acme + Papaya branding; MSA/SOW on file; DPA updated for new countries.</w:t>
      </w:r>
    </w:p>
    <w:p>
      <w:r>
        <w:t>Data sources &amp; permissions: Workday HCM, NetSuite, time &amp; attendance, local tax portals; read‑only access granted to project team.</w:t>
      </w:r>
    </w:p>
    <w:p>
      <w:r>
        <w:t>Assumptions &amp; out‑of‑scope: No custom country builds beyond configuration; SAP HR not in scope; union contract changes handled by Acme.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