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A5F"/>
          <w:spacing w:val="40"/>
          <w:sz w:val="18"/>
          <w:szCs w:val="18"/>
        </w:rPr>
        <w:t xml:space="preserve">CALLGUARD AI LTD</w:t>
      </w:r>
    </w:p>
    <w:p>
      <w:pPr>
        <w:spacing w:after="40"/>
      </w:pPr>
      <w:r>
        <w:rPr>
          <w:b/>
          <w:bCs/>
          <w:color w:val="1F3A5F"/>
          <w:sz w:val="34"/>
          <w:szCs w:val="34"/>
        </w:rPr>
        <w:t xml:space="preserve">Evaluation Data Processing Agreement</w:t>
      </w:r>
    </w:p>
    <w:p>
      <w:pPr>
        <w:pBdr>
          <w:bottom w:val="single" w:color="1F3A5F" w:sz="6" w:space="8"/>
        </w:pBdr>
        <w:spacing w:after="220"/>
      </w:pPr>
      <w:r>
        <w:rPr>
          <w:color w:val="44546A"/>
          <w:sz w:val="20"/>
          <w:szCs w:val="20"/>
        </w:rPr>
        <w:t xml:space="preserve">Processing of call recordings for pre-contract evaluation</w:t>
      </w:r>
    </w:p>
    <w:p>
      <w:pPr>
        <w:spacing w:after="140"/>
      </w:pPr>
      <w:r>
        <w:rPr>
          <w:sz w:val="20"/>
          <w:szCs w:val="20"/>
        </w:rPr>
        <w:t xml:space="preserve">This Agreement is made between:</w:t>
      </w:r>
    </w:p>
    <w:p>
      <w:pPr>
        <w:spacing w:after="140"/>
      </w:pPr>
      <w:r>
        <w:rPr>
          <w:b/>
          <w:bCs/>
          <w:sz w:val="20"/>
          <w:szCs w:val="20"/>
        </w:rPr>
        <w:t xml:space="preserve">Service Box Group Limited</w:t>
      </w:r>
      <w:r>
        <w:rPr>
          <w:sz w:val="20"/>
          <w:szCs w:val="20"/>
        </w:rPr>
        <w:t xml:space="preserve"> (company number 10664393), of Suite 11, Floor 1, Sheridan House, Western Road, Hove, England, BN3 1DD (the </w:t>
      </w:r>
      <w:r>
        <w:rPr>
          <w:b/>
          <w:bCs/>
          <w:sz w:val="20"/>
          <w:szCs w:val="20"/>
        </w:rPr>
        <w:t xml:space="preserve">Controller</w:t>
      </w:r>
      <w:r>
        <w:rPr>
          <w:sz w:val="20"/>
          <w:szCs w:val="20"/>
        </w:rPr>
        <w:t xml:space="preserve">); and</w:t>
      </w:r>
    </w:p>
    <w:p>
      <w:pPr>
        <w:spacing w:after="140"/>
      </w:pPr>
      <w:r>
        <w:rPr>
          <w:b/>
          <w:bCs/>
          <w:sz w:val="20"/>
          <w:szCs w:val="20"/>
        </w:rPr>
        <w:t xml:space="preserve">CallGuard AI Ltd</w:t>
      </w:r>
      <w:r>
        <w:rPr>
          <w:sz w:val="20"/>
          <w:szCs w:val="20"/>
        </w:rPr>
        <w:t xml:space="preserve"> (company number 17279006), of 106 Haytor Avenue, Paignton, England, TQ4 7TB (the </w:t>
      </w:r>
      <w:r>
        <w:rPr>
          <w:b/>
          <w:bCs/>
          <w:sz w:val="20"/>
          <w:szCs w:val="20"/>
        </w:rPr>
        <w:t xml:space="preserve">Processor</w:t>
      </w:r>
      <w:r>
        <w:rPr>
          <w:sz w:val="20"/>
          <w:szCs w:val="20"/>
        </w:rPr>
        <w:t xml:space="preserve">).</w:t>
      </w:r>
    </w:p>
    <w:p>
      <w:pPr>
        <w:spacing w:after="140"/>
      </w:pPr>
      <w:r>
        <w:rPr>
          <w:i/>
          <w:iCs/>
          <w:color w:val="667085"/>
          <w:sz w:val="20"/>
          <w:szCs w:val="20"/>
        </w:rPr>
        <w:t xml:space="preserve">Each a party, and together the parties.</w:t>
      </w:r>
    </w:p>
    <w:p>
      <w:pPr>
        <w:pStyle w:val="Heading1"/>
        <w:spacing w:after="160" w:before="320"/>
      </w:pPr>
      <w:r>
        <w:rPr>
          <w:b/>
          <w:bCs/>
          <w:color w:val="1F3A5F"/>
          <w:sz w:val="26"/>
          <w:szCs w:val="26"/>
        </w:rPr>
        <w:t xml:space="preserve">1. Purpose and scope</w:t>
      </w:r>
    </w:p>
    <w:p>
      <w:pPr>
        <w:pStyle w:val="ListParagraph"/>
        <w:numPr>
          <w:ilvl w:val="0"/>
          <w:numId w:val="2"/>
        </w:numPr>
        <w:spacing w:after="120"/>
      </w:pPr>
      <w:r>
        <w:rPr>
          <w:sz w:val="20"/>
          <w:szCs w:val="20"/>
        </w:rPr>
        <w:t xml:space="preserve">The Controller wishes to evaluate the Processor's call quality assurance service before deciding whether to enter into a commercial agreement. For that purpose the Controller will provide the Processor with a limited number of recorded sales calls.</w:t>
      </w:r>
    </w:p>
    <w:p>
      <w:pPr>
        <w:pStyle w:val="ListParagraph"/>
        <w:numPr>
          <w:ilvl w:val="0"/>
          <w:numId w:val="2"/>
        </w:numPr>
        <w:spacing w:after="120"/>
      </w:pPr>
      <w:r>
        <w:rPr>
          <w:sz w:val="20"/>
          <w:szCs w:val="20"/>
        </w:rPr>
        <w:t xml:space="preserve">This Agreement governs the Processor's processing of personal data contained in those recordings. It is a short-form agreement for evaluation only. It does not create any obligation on either party to enter into a further agreement, and it will be superseded in full by a data processing agreement executed alongside any commercial contract.</w:t>
      </w:r>
    </w:p>
    <w:p>
      <w:pPr>
        <w:pStyle w:val="ListParagraph"/>
        <w:numPr>
          <w:ilvl w:val="0"/>
          <w:numId w:val="2"/>
        </w:numPr>
        <w:spacing w:after="120"/>
      </w:pPr>
      <w:r>
        <w:rPr>
          <w:sz w:val="20"/>
          <w:szCs w:val="20"/>
        </w:rPr>
        <w:t xml:space="preserve">The Processor acts as a processor and the Controller acts as a controller, each as defined in the UK GDPR. Nothing in this Agreement makes the Processor a controller of the personal data in the recordings.</w:t>
      </w:r>
    </w:p>
    <w:p>
      <w:pPr>
        <w:pStyle w:val="ListParagraph"/>
        <w:numPr>
          <w:ilvl w:val="0"/>
          <w:numId w:val="2"/>
        </w:numPr>
        <w:spacing w:after="120"/>
      </w:pPr>
      <w:r>
        <w:rPr>
          <w:sz w:val="20"/>
          <w:szCs w:val="20"/>
        </w:rPr>
        <w:t xml:space="preserve">This Agreement is entered into for the purposes of Article 28(3) of the UK GDPR. The Controller's documented instructions for the purposes of Article 28(3)(a) are this Agreement, the Controller's call monitoring matrix and call scripts as supplied to the Processor, and any further instruction given in writing to the Processor's notice address in clause 10.</w:t>
      </w:r>
    </w:p>
    <w:p>
      <w:pPr>
        <w:pStyle w:val="Heading1"/>
        <w:spacing w:after="160" w:before="320"/>
      </w:pPr>
      <w:r>
        <w:rPr>
          <w:b/>
          <w:bCs/>
          <w:color w:val="1F3A5F"/>
          <w:sz w:val="26"/>
          <w:szCs w:val="26"/>
        </w:rPr>
        <w:t xml:space="preserve">2. Details of the processing</w:t>
      </w:r>
    </w:p>
    <w:p>
      <w:pPr>
        <w:spacing w:after="140"/>
      </w:pPr>
      <w:r>
        <w:rPr>
          <w:i/>
          <w:iCs/>
          <w:color w:val="667085"/>
          <w:sz w:val="20"/>
          <w:szCs w:val="20"/>
        </w:rPr>
        <w:t xml:space="preserve">Required by Article 28(3) of the UK GDPR.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shd w:fill="F2F4F7" w:color="auto" w:val="clear"/>
            <w:tcMar>
              <w:top w:type="dxa" w:w="90"/>
              <w:left w:type="dxa" w:w="120"/>
              <w:bottom w:type="dxa" w:w="90"/>
              <w:right w:type="dxa" w:w="120"/>
            </w:tcMar>
          </w:tcPr>
          <w:p>
            <w:r>
              <w:rPr>
                <w:b/>
                <w:bCs/>
                <w:sz w:val="19"/>
                <w:szCs w:val="19"/>
              </w:rPr>
              <w:t xml:space="preserve">Item</w:t>
            </w:r>
          </w:p>
        </w:tc>
        <w:tc>
          <w:tcPr>
            <w:tcW w:type="dxa" w:w="7260"/>
            <w:shd w:fill="F2F4F7" w:color="auto" w:val="clear"/>
            <w:tcMar>
              <w:top w:type="dxa" w:w="90"/>
              <w:left w:type="dxa" w:w="120"/>
              <w:bottom w:type="dxa" w:w="90"/>
              <w:right w:type="dxa" w:w="120"/>
            </w:tcMar>
          </w:tcPr>
          <w:p>
            <w:r>
              <w:rPr>
                <w:b/>
                <w:bCs/>
                <w:sz w:val="19"/>
                <w:szCs w:val="19"/>
              </w:rPr>
              <w:t xml:space="preserve">Detail</w:t>
            </w:r>
          </w:p>
        </w:tc>
      </w:tr>
      <w:tr>
        <w:trPr>
          <w:tblHeader w:val="false"/>
        </w:trPr>
        <w:tc>
          <w:tcPr>
            <w:tcW w:type="dxa" w:w="2100"/>
            <w:tcMar>
              <w:top w:type="dxa" w:w="90"/>
              <w:left w:type="dxa" w:w="120"/>
              <w:bottom w:type="dxa" w:w="90"/>
              <w:right w:type="dxa" w:w="120"/>
            </w:tcMar>
          </w:tcPr>
          <w:p>
            <w:r>
              <w:rPr>
                <w:b w:val="false"/>
                <w:bCs w:val="false"/>
                <w:sz w:val="19"/>
                <w:szCs w:val="19"/>
              </w:rPr>
              <w:t xml:space="preserve">Subject matter</w:t>
            </w:r>
          </w:p>
        </w:tc>
        <w:tc>
          <w:tcPr>
            <w:tcW w:type="dxa" w:w="7260"/>
            <w:tcMar>
              <w:top w:type="dxa" w:w="90"/>
              <w:left w:type="dxa" w:w="120"/>
              <w:bottom w:type="dxa" w:w="90"/>
              <w:right w:type="dxa" w:w="120"/>
            </w:tcMar>
          </w:tcPr>
          <w:p>
            <w:r>
              <w:rPr>
                <w:b w:val="false"/>
                <w:bCs w:val="false"/>
                <w:sz w:val="19"/>
                <w:szCs w:val="19"/>
              </w:rPr>
              <w:t xml:space="preserve">Transcription and automated quality assurance scoring of recorded sales calls supplied by the Controller.</w:t>
            </w:r>
          </w:p>
        </w:tc>
      </w:tr>
      <w:tr>
        <w:trPr>
          <w:tblHeader w:val="false"/>
        </w:trPr>
        <w:tc>
          <w:tcPr>
            <w:tcW w:type="dxa" w:w="2100"/>
            <w:tcMar>
              <w:top w:type="dxa" w:w="90"/>
              <w:left w:type="dxa" w:w="120"/>
              <w:bottom w:type="dxa" w:w="90"/>
              <w:right w:type="dxa" w:w="120"/>
            </w:tcMar>
          </w:tcPr>
          <w:p>
            <w:r>
              <w:rPr>
                <w:b w:val="false"/>
                <w:bCs w:val="false"/>
                <w:sz w:val="19"/>
                <w:szCs w:val="19"/>
              </w:rPr>
              <w:t xml:space="preserve">Duration</w:t>
            </w:r>
          </w:p>
        </w:tc>
        <w:tc>
          <w:tcPr>
            <w:tcW w:type="dxa" w:w="7260"/>
            <w:tcMar>
              <w:top w:type="dxa" w:w="90"/>
              <w:left w:type="dxa" w:w="120"/>
              <w:bottom w:type="dxa" w:w="90"/>
              <w:right w:type="dxa" w:w="120"/>
            </w:tcMar>
          </w:tcPr>
          <w:p>
            <w:r>
              <w:rPr>
                <w:b w:val="false"/>
                <w:bCs w:val="false"/>
                <w:sz w:val="19"/>
                <w:szCs w:val="19"/>
              </w:rPr>
              <w:t xml:space="preserve">From the date the first recording is received until deletion under clause 7, and in any event no later than 30 days after the date the last recording is received.</w:t>
            </w:r>
          </w:p>
        </w:tc>
      </w:tr>
      <w:tr>
        <w:trPr>
          <w:tblHeader w:val="false"/>
        </w:trPr>
        <w:tc>
          <w:tcPr>
            <w:tcW w:type="dxa" w:w="2100"/>
            <w:tcMar>
              <w:top w:type="dxa" w:w="90"/>
              <w:left w:type="dxa" w:w="120"/>
              <w:bottom w:type="dxa" w:w="90"/>
              <w:right w:type="dxa" w:w="120"/>
            </w:tcMar>
          </w:tcPr>
          <w:p>
            <w:r>
              <w:rPr>
                <w:b w:val="false"/>
                <w:bCs w:val="false"/>
                <w:sz w:val="19"/>
                <w:szCs w:val="19"/>
              </w:rPr>
              <w:t xml:space="preserve">Nature and purpose</w:t>
            </w:r>
          </w:p>
        </w:tc>
        <w:tc>
          <w:tcPr>
            <w:tcW w:type="dxa" w:w="7260"/>
            <w:tcMar>
              <w:top w:type="dxa" w:w="90"/>
              <w:left w:type="dxa" w:w="120"/>
              <w:bottom w:type="dxa" w:w="90"/>
              <w:right w:type="dxa" w:w="120"/>
            </w:tcMar>
          </w:tcPr>
          <w:p>
            <w:r>
              <w:rPr>
                <w:b w:val="false"/>
                <w:bCs w:val="false"/>
                <w:sz w:val="19"/>
                <w:szCs w:val="19"/>
              </w:rPr>
              <w:t xml:space="preserve">Transcription of audio to text; automated scoring of the transcript against the Controller's own call monitoring matrix; production of findings for the Controller's review. Evaluation only. No production use, no decisions affecting any individual, and no disclosure to any third party other than the sub-processors named in clause 6.</w:t>
            </w:r>
          </w:p>
        </w:tc>
      </w:tr>
      <w:tr>
        <w:trPr>
          <w:tblHeader w:val="false"/>
        </w:trPr>
        <w:tc>
          <w:tcPr>
            <w:tcW w:type="dxa" w:w="2100"/>
            <w:tcMar>
              <w:top w:type="dxa" w:w="90"/>
              <w:left w:type="dxa" w:w="120"/>
              <w:bottom w:type="dxa" w:w="90"/>
              <w:right w:type="dxa" w:w="120"/>
            </w:tcMar>
          </w:tcPr>
          <w:p>
            <w:r>
              <w:rPr>
                <w:b w:val="false"/>
                <w:bCs w:val="false"/>
                <w:sz w:val="19"/>
                <w:szCs w:val="19"/>
              </w:rPr>
              <w:t xml:space="preserve">Type of personal data</w:t>
            </w:r>
          </w:p>
        </w:tc>
        <w:tc>
          <w:tcPr>
            <w:tcW w:type="dxa" w:w="7260"/>
            <w:tcMar>
              <w:top w:type="dxa" w:w="90"/>
              <w:left w:type="dxa" w:w="120"/>
              <w:bottom w:type="dxa" w:w="90"/>
              <w:right w:type="dxa" w:w="120"/>
            </w:tcMar>
          </w:tcPr>
          <w:p>
            <w:r>
              <w:rPr>
                <w:b w:val="false"/>
                <w:bCs w:val="false"/>
                <w:sz w:val="19"/>
                <w:szCs w:val="19"/>
              </w:rPr>
              <w:t xml:space="preserve">Personal data spoken on the calls. This is expected to include: customer names, addresses and contact details; appliance and property details; bank account details and Direct Debit instructions; payment amounts and dates; and the names and voices of the Controller's agents. It may also include information disclosed by a customer that indicates vulnerability, which may amount to special category data concerning health within the meaning of Article 9 of the UK GDPR.</w:t>
            </w:r>
          </w:p>
        </w:tc>
      </w:tr>
      <w:tr>
        <w:trPr>
          <w:tblHeader w:val="false"/>
        </w:trPr>
        <w:tc>
          <w:tcPr>
            <w:tcW w:type="dxa" w:w="2100"/>
            <w:tcMar>
              <w:top w:type="dxa" w:w="90"/>
              <w:left w:type="dxa" w:w="120"/>
              <w:bottom w:type="dxa" w:w="90"/>
              <w:right w:type="dxa" w:w="120"/>
            </w:tcMar>
          </w:tcPr>
          <w:p>
            <w:r>
              <w:rPr>
                <w:b w:val="false"/>
                <w:bCs w:val="false"/>
                <w:sz w:val="19"/>
                <w:szCs w:val="19"/>
              </w:rPr>
              <w:t xml:space="preserve">Categories of data subject</w:t>
            </w:r>
          </w:p>
        </w:tc>
        <w:tc>
          <w:tcPr>
            <w:tcW w:type="dxa" w:w="7260"/>
            <w:tcMar>
              <w:top w:type="dxa" w:w="90"/>
              <w:left w:type="dxa" w:w="120"/>
              <w:bottom w:type="dxa" w:w="90"/>
              <w:right w:type="dxa" w:w="120"/>
            </w:tcMar>
          </w:tcPr>
          <w:p>
            <w:r>
              <w:rPr>
                <w:b w:val="false"/>
                <w:bCs w:val="false"/>
                <w:sz w:val="19"/>
                <w:szCs w:val="19"/>
              </w:rPr>
              <w:t xml:space="preserve">Customers and prospective customers of the Controller, and employees or agents of the Controller who appear on the recordings.</w:t>
            </w:r>
          </w:p>
        </w:tc>
      </w:tr>
    </w:tbl>
    <w:p>
      <w:pPr>
        <w:spacing w:after="140"/>
      </w:pPr>
    </w:p>
    <w:p>
      <w:pPr>
        <w:spacing w:after="140"/>
      </w:pPr>
      <w:r>
        <w:rPr>
          <w:b/>
          <w:bCs/>
          <w:sz w:val="20"/>
          <w:szCs w:val="20"/>
        </w:rPr>
        <w:t xml:space="preserve">Special category data. </w:t>
      </w:r>
      <w:r>
        <w:rPr>
          <w:sz w:val="20"/>
          <w:szCs w:val="20"/>
        </w:rPr>
        <w:t xml:space="preserve">The parties acknowledge that the recordings may contain special category data. The Processor will apply the security measures in clause 5 to all personal data supplied, on the assumption that special category data may be present.</w:t>
      </w:r>
    </w:p>
    <w:p>
      <w:pPr>
        <w:pStyle w:val="Heading1"/>
        <w:spacing w:after="160" w:before="320"/>
      </w:pPr>
      <w:r>
        <w:rPr>
          <w:b/>
          <w:bCs/>
          <w:color w:val="1F3A5F"/>
          <w:sz w:val="26"/>
          <w:szCs w:val="26"/>
        </w:rPr>
        <w:t xml:space="preserve">3. Controller obligations</w:t>
      </w:r>
    </w:p>
    <w:p>
      <w:pPr>
        <w:spacing w:after="140"/>
      </w:pPr>
      <w:r>
        <w:rPr>
          <w:sz w:val="20"/>
          <w:szCs w:val="20"/>
        </w:rPr>
        <w:t xml:space="preserve">The Controller warrants and undertakes that:</w:t>
      </w:r>
    </w:p>
    <w:p>
      <w:pPr>
        <w:pStyle w:val="ListParagraph"/>
        <w:numPr>
          <w:ilvl w:val="0"/>
          <w:numId w:val="3"/>
        </w:numPr>
        <w:spacing w:after="120"/>
      </w:pPr>
      <w:r>
        <w:rPr>
          <w:sz w:val="20"/>
          <w:szCs w:val="20"/>
        </w:rPr>
        <w:t xml:space="preserve">it is the controller of the personal data in the recordings, and it has a lawful basis under Article 6 of the UK GDPR and, where applicable, a condition under Article 9, for supplying those recordings to the Processor and for the processing described in clause 2;</w:t>
      </w:r>
    </w:p>
    <w:p>
      <w:pPr>
        <w:pStyle w:val="ListParagraph"/>
        <w:numPr>
          <w:ilvl w:val="0"/>
          <w:numId w:val="3"/>
        </w:numPr>
        <w:spacing w:after="120"/>
      </w:pPr>
      <w:r>
        <w:rPr>
          <w:sz w:val="20"/>
          <w:szCs w:val="20"/>
        </w:rPr>
        <w:t xml:space="preserve">it has given the data subjects the information required by Articles 13 and 14 of the UK GDPR, including that recordings may be disclosed to a service provider for quality assurance purposes;</w:t>
      </w:r>
    </w:p>
    <w:p>
      <w:pPr>
        <w:pStyle w:val="ListParagraph"/>
        <w:numPr>
          <w:ilvl w:val="0"/>
          <w:numId w:val="3"/>
        </w:numPr>
        <w:spacing w:after="120"/>
      </w:pPr>
      <w:r>
        <w:rPr>
          <w:sz w:val="20"/>
          <w:szCs w:val="20"/>
        </w:rPr>
        <w:t xml:space="preserve">it has complied with its obligations in relation to the recording of the calls in the first place, including any notification given to the parties on the call;</w:t>
      </w:r>
    </w:p>
    <w:p>
      <w:pPr>
        <w:pStyle w:val="ListParagraph"/>
        <w:numPr>
          <w:ilvl w:val="0"/>
          <w:numId w:val="3"/>
        </w:numPr>
        <w:spacing w:after="120"/>
      </w:pPr>
      <w:r>
        <w:rPr>
          <w:sz w:val="20"/>
          <w:szCs w:val="20"/>
        </w:rPr>
        <w:t xml:space="preserve">it will not supply to the Processor any personal data that is not necessary for the evaluation, and will keep the volume supplied to the minimum required to assess the service; and</w:t>
      </w:r>
    </w:p>
    <w:p>
      <w:pPr>
        <w:pStyle w:val="ListParagraph"/>
        <w:numPr>
          <w:ilvl w:val="0"/>
          <w:numId w:val="3"/>
        </w:numPr>
        <w:spacing w:after="120"/>
      </w:pPr>
      <w:r>
        <w:rPr>
          <w:sz w:val="20"/>
          <w:szCs w:val="20"/>
        </w:rPr>
        <w:t xml:space="preserve">its instructions to the Processor will not require the Processor to act in breach of the UK GDPR or the Data Protection Act 2018.</w:t>
      </w:r>
    </w:p>
    <w:p>
      <w:pPr>
        <w:pStyle w:val="Heading1"/>
        <w:spacing w:after="160" w:before="320"/>
      </w:pPr>
      <w:r>
        <w:rPr>
          <w:b/>
          <w:bCs/>
          <w:color w:val="1F3A5F"/>
          <w:sz w:val="26"/>
          <w:szCs w:val="26"/>
        </w:rPr>
        <w:t xml:space="preserve">4. Processor obligations</w:t>
      </w:r>
    </w:p>
    <w:p>
      <w:pPr>
        <w:spacing w:after="140"/>
      </w:pPr>
      <w:r>
        <w:rPr>
          <w:sz w:val="20"/>
          <w:szCs w:val="20"/>
        </w:rPr>
        <w:t xml:space="preserve">The Processor shall:</w:t>
      </w:r>
    </w:p>
    <w:p>
      <w:pPr>
        <w:pStyle w:val="ListParagraph"/>
        <w:numPr>
          <w:ilvl w:val="0"/>
          <w:numId w:val="4"/>
        </w:numPr>
        <w:spacing w:after="120"/>
      </w:pPr>
      <w:r>
        <w:rPr>
          <w:sz w:val="20"/>
          <w:szCs w:val="20"/>
        </w:rPr>
        <w:t xml:space="preserve">process the personal data only on documented instructions from the Controller, including in relation to transfers outside the United Kingdom, unless required to do otherwise by law, in which case it shall inform the Controller before processing unless the law prohibits it;</w:t>
      </w:r>
    </w:p>
    <w:p>
      <w:pPr>
        <w:pStyle w:val="ListParagraph"/>
        <w:numPr>
          <w:ilvl w:val="0"/>
          <w:numId w:val="4"/>
        </w:numPr>
        <w:spacing w:after="120"/>
      </w:pPr>
      <w:r>
        <w:rPr>
          <w:sz w:val="20"/>
          <w:szCs w:val="20"/>
        </w:rPr>
        <w:t xml:space="preserve">immediately inform the Controller if, in its opinion, an instruction infringes the UK GDPR or other data protection law;</w:t>
      </w:r>
    </w:p>
    <w:p>
      <w:pPr>
        <w:pStyle w:val="ListParagraph"/>
        <w:numPr>
          <w:ilvl w:val="0"/>
          <w:numId w:val="4"/>
        </w:numPr>
        <w:spacing w:after="120"/>
      </w:pPr>
      <w:r>
        <w:rPr>
          <w:sz w:val="20"/>
          <w:szCs w:val="20"/>
        </w:rPr>
        <w:t xml:space="preserve">ensure that any person authorised to process the personal data is subject to a duty of confidentiality;</w:t>
      </w:r>
    </w:p>
    <w:p>
      <w:pPr>
        <w:pStyle w:val="ListParagraph"/>
        <w:numPr>
          <w:ilvl w:val="0"/>
          <w:numId w:val="4"/>
        </w:numPr>
        <w:spacing w:after="120"/>
      </w:pPr>
      <w:r>
        <w:rPr>
          <w:sz w:val="20"/>
          <w:szCs w:val="20"/>
        </w:rPr>
        <w:t xml:space="preserve">implement the technical and organisational measures set out in clause 5;</w:t>
      </w:r>
    </w:p>
    <w:p>
      <w:pPr>
        <w:pStyle w:val="ListParagraph"/>
        <w:numPr>
          <w:ilvl w:val="0"/>
          <w:numId w:val="4"/>
        </w:numPr>
        <w:spacing w:after="120"/>
      </w:pPr>
      <w:r>
        <w:rPr>
          <w:sz w:val="20"/>
          <w:szCs w:val="20"/>
        </w:rPr>
        <w:t xml:space="preserve">not engage any sub-processor other than those named in clause 6 without the Controller's prior written authorisation, and remain fully liable to the Controller for the performance of any sub-processor;</w:t>
      </w:r>
    </w:p>
    <w:p>
      <w:pPr>
        <w:pStyle w:val="ListParagraph"/>
        <w:numPr>
          <w:ilvl w:val="0"/>
          <w:numId w:val="4"/>
        </w:numPr>
        <w:spacing w:after="120"/>
      </w:pPr>
      <w:r>
        <w:rPr>
          <w:sz w:val="20"/>
          <w:szCs w:val="20"/>
        </w:rPr>
        <w:t xml:space="preserve">assist the Controller, by appropriate technical and organisational measures and insofar as possible, in responding to requests from data subjects exercising their rights under the UK GDPR;</w:t>
      </w:r>
    </w:p>
    <w:p>
      <w:pPr>
        <w:pStyle w:val="ListParagraph"/>
        <w:numPr>
          <w:ilvl w:val="0"/>
          <w:numId w:val="4"/>
        </w:numPr>
        <w:spacing w:after="120"/>
      </w:pPr>
      <w:r>
        <w:rPr>
          <w:sz w:val="20"/>
          <w:szCs w:val="20"/>
        </w:rPr>
        <w:t xml:space="preserve">assist the Controller in ensuring compliance with its obligations under Articles 32 to 36 of the UK GDPR, including security, personal data breach notification, and data protection impact assessments;</w:t>
      </w:r>
    </w:p>
    <w:p>
      <w:pPr>
        <w:pStyle w:val="ListParagraph"/>
        <w:numPr>
          <w:ilvl w:val="0"/>
          <w:numId w:val="4"/>
        </w:numPr>
        <w:spacing w:after="120"/>
      </w:pPr>
      <w:r>
        <w:rPr>
          <w:sz w:val="20"/>
          <w:szCs w:val="20"/>
        </w:rPr>
        <w:t xml:space="preserve">notify the Controller without undue delay, and in any event within 24 hours, on becoming aware of a personal data breach affecting the personal data, and provide the information the Controller reasonably requires to meet its own notification deadline under Article 33 of the UK GDPR;</w:t>
      </w:r>
    </w:p>
    <w:p>
      <w:pPr>
        <w:pStyle w:val="ListParagraph"/>
        <w:numPr>
          <w:ilvl w:val="0"/>
          <w:numId w:val="4"/>
        </w:numPr>
        <w:spacing w:after="120"/>
      </w:pPr>
      <w:r>
        <w:rPr>
          <w:sz w:val="20"/>
          <w:szCs w:val="20"/>
        </w:rPr>
        <w:t xml:space="preserve">delete or return the personal data in accordance with clause 7; and</w:t>
      </w:r>
    </w:p>
    <w:p>
      <w:pPr>
        <w:pStyle w:val="ListParagraph"/>
        <w:numPr>
          <w:ilvl w:val="0"/>
          <w:numId w:val="4"/>
        </w:numPr>
        <w:spacing w:after="120"/>
      </w:pPr>
      <w:r>
        <w:rPr>
          <w:sz w:val="20"/>
          <w:szCs w:val="20"/>
        </w:rPr>
        <w:t xml:space="preserve">make available to the Controller all information necessary to demonstrate compliance with this Agreement, and allow for and contribute to an audit or inspection conducted by the Controller or an auditor mandated by it, on 14 days' written notice and subject to confidentiality. Given the limited scope and duration of this evaluation, the Controller may exercise this right once, remotely, and at its own cost, save that these limits do not apply following a personal data breach affecting the personal data.</w:t>
      </w:r>
    </w:p>
    <w:p>
      <w:pPr>
        <w:pStyle w:val="Heading1"/>
        <w:spacing w:after="160" w:before="320"/>
      </w:pPr>
      <w:r>
        <w:rPr>
          <w:b/>
          <w:bCs/>
          <w:color w:val="1F3A5F"/>
          <w:sz w:val="26"/>
          <w:szCs w:val="26"/>
        </w:rPr>
        <w:t xml:space="preserve">5. Security</w:t>
      </w:r>
    </w:p>
    <w:p>
      <w:pPr>
        <w:spacing w:after="140"/>
      </w:pPr>
      <w:r>
        <w:rPr>
          <w:sz w:val="20"/>
          <w:szCs w:val="20"/>
        </w:rPr>
        <w:t xml:space="preserve">The Processor shall implement appropriate technical and organisational measures under Article 32 of the UK GDPR, including at a minimum:</w:t>
      </w:r>
    </w:p>
    <w:p>
      <w:pPr>
        <w:pStyle w:val="ListParagraph"/>
        <w:numPr>
          <w:ilvl w:val="0"/>
          <w:numId w:val="5"/>
        </w:numPr>
        <w:spacing w:after="90"/>
      </w:pPr>
      <w:r>
        <w:rPr>
          <w:sz w:val="20"/>
          <w:szCs w:val="20"/>
        </w:rPr>
        <w:t xml:space="preserve">encryption of personal data in transit using TLS 1.2 or higher, and at rest using AES-256;</w:t>
      </w:r>
    </w:p>
    <w:p>
      <w:pPr>
        <w:pStyle w:val="ListParagraph"/>
        <w:numPr>
          <w:ilvl w:val="0"/>
          <w:numId w:val="5"/>
        </w:numPr>
        <w:spacing w:after="90"/>
      </w:pPr>
      <w:r>
        <w:rPr>
          <w:sz w:val="20"/>
          <w:szCs w:val="20"/>
        </w:rPr>
        <w:t xml:space="preserve">hosting within the United Kingdom, on Amazon Web Services infrastructure in the London region;</w:t>
      </w:r>
    </w:p>
    <w:p>
      <w:pPr>
        <w:pStyle w:val="ListParagraph"/>
        <w:numPr>
          <w:ilvl w:val="0"/>
          <w:numId w:val="5"/>
        </w:numPr>
        <w:spacing w:after="90"/>
      </w:pPr>
      <w:r>
        <w:rPr>
          <w:sz w:val="20"/>
          <w:szCs w:val="20"/>
        </w:rPr>
        <w:t xml:space="preserve">role-based access control, with access limited to those personnel who require it for the evaluation;</w:t>
      </w:r>
    </w:p>
    <w:p>
      <w:pPr>
        <w:pStyle w:val="ListParagraph"/>
        <w:numPr>
          <w:ilvl w:val="0"/>
          <w:numId w:val="5"/>
        </w:numPr>
        <w:spacing w:after="90"/>
      </w:pPr>
      <w:r>
        <w:rPr>
          <w:sz w:val="20"/>
          <w:szCs w:val="20"/>
        </w:rPr>
        <w:t xml:space="preserve">logging of access to the personal data;</w:t>
      </w:r>
    </w:p>
    <w:p>
      <w:pPr>
        <w:pStyle w:val="ListParagraph"/>
        <w:numPr>
          <w:ilvl w:val="0"/>
          <w:numId w:val="5"/>
        </w:numPr>
        <w:spacing w:after="90"/>
      </w:pPr>
      <w:r>
        <w:rPr>
          <w:sz w:val="20"/>
          <w:szCs w:val="20"/>
        </w:rPr>
        <w:t xml:space="preserve">segregation of the Controller's data from that of any other customer; and</w:t>
      </w:r>
    </w:p>
    <w:p>
      <w:pPr>
        <w:pStyle w:val="ListParagraph"/>
        <w:numPr>
          <w:ilvl w:val="0"/>
          <w:numId w:val="5"/>
        </w:numPr>
        <w:spacing w:after="90"/>
      </w:pPr>
      <w:r>
        <w:rPr>
          <w:sz w:val="20"/>
          <w:szCs w:val="20"/>
        </w:rPr>
        <w:t xml:space="preserve">secure deletion in accordance with clause 7.</w:t>
      </w:r>
    </w:p>
    <w:p>
      <w:pPr>
        <w:pStyle w:val="Heading1"/>
        <w:spacing w:after="160" w:before="320"/>
      </w:pPr>
      <w:r>
        <w:rPr>
          <w:b/>
          <w:bCs/>
          <w:color w:val="1F3A5F"/>
          <w:sz w:val="26"/>
          <w:szCs w:val="26"/>
        </w:rPr>
        <w:t xml:space="preserve">6. Sub-processors</w:t>
      </w:r>
    </w:p>
    <w:p>
      <w:pPr>
        <w:spacing w:after="140"/>
      </w:pPr>
      <w:r>
        <w:rPr>
          <w:sz w:val="20"/>
          <w:szCs w:val="20"/>
        </w:rPr>
        <w:t xml:space="preserve">The Controller authorises the following sub-processors for the purposes of this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5060"/>
      </w:tblGrid>
      <w:tr>
        <w:trPr>
          <w:tblHeader/>
        </w:trPr>
        <w:tc>
          <w:tcPr>
            <w:tcW w:type="dxa" w:w="1900"/>
            <w:shd w:fill="F2F4F7" w:color="auto" w:val="clear"/>
            <w:tcMar>
              <w:top w:type="dxa" w:w="90"/>
              <w:left w:type="dxa" w:w="120"/>
              <w:bottom w:type="dxa" w:w="90"/>
              <w:right w:type="dxa" w:w="120"/>
            </w:tcMar>
          </w:tcPr>
          <w:p>
            <w:r>
              <w:rPr>
                <w:b/>
                <w:bCs/>
                <w:sz w:val="19"/>
                <w:szCs w:val="19"/>
              </w:rPr>
              <w:t xml:space="preserve">Sub-processor</w:t>
            </w:r>
          </w:p>
        </w:tc>
        <w:tc>
          <w:tcPr>
            <w:tcW w:type="dxa" w:w="2400"/>
            <w:shd w:fill="F2F4F7" w:color="auto" w:val="clear"/>
            <w:tcMar>
              <w:top w:type="dxa" w:w="90"/>
              <w:left w:type="dxa" w:w="120"/>
              <w:bottom w:type="dxa" w:w="90"/>
              <w:right w:type="dxa" w:w="120"/>
            </w:tcMar>
          </w:tcPr>
          <w:p>
            <w:r>
              <w:rPr>
                <w:b/>
                <w:bCs/>
                <w:sz w:val="19"/>
                <w:szCs w:val="19"/>
              </w:rPr>
              <w:t xml:space="preserve">Purpose</w:t>
            </w:r>
          </w:p>
        </w:tc>
        <w:tc>
          <w:tcPr>
            <w:tcW w:type="dxa" w:w="5060"/>
            <w:shd w:fill="F2F4F7" w:color="auto" w:val="clear"/>
            <w:tcMar>
              <w:top w:type="dxa" w:w="90"/>
              <w:left w:type="dxa" w:w="120"/>
              <w:bottom w:type="dxa" w:w="90"/>
              <w:right w:type="dxa" w:w="120"/>
            </w:tcMar>
          </w:tcPr>
          <w:p>
            <w:r>
              <w:rPr>
                <w:b/>
                <w:bCs/>
                <w:sz w:val="19"/>
                <w:szCs w:val="19"/>
              </w:rPr>
              <w:t xml:space="preserve">Processing location</w:t>
            </w:r>
          </w:p>
        </w:tc>
      </w:tr>
      <w:tr>
        <w:trPr>
          <w:tblHeader w:val="false"/>
        </w:trPr>
        <w:tc>
          <w:tcPr>
            <w:tcW w:type="dxa" w:w="1900"/>
            <w:tcMar>
              <w:top w:type="dxa" w:w="90"/>
              <w:left w:type="dxa" w:w="120"/>
              <w:bottom w:type="dxa" w:w="90"/>
              <w:right w:type="dxa" w:w="120"/>
            </w:tcMar>
          </w:tcPr>
          <w:p>
            <w:r>
              <w:rPr>
                <w:b w:val="false"/>
                <w:bCs w:val="false"/>
                <w:sz w:val="19"/>
                <w:szCs w:val="19"/>
              </w:rPr>
              <w:t xml:space="preserve">Deepgram, Inc.</w:t>
            </w:r>
          </w:p>
        </w:tc>
        <w:tc>
          <w:tcPr>
            <w:tcW w:type="dxa" w:w="2400"/>
            <w:tcMar>
              <w:top w:type="dxa" w:w="90"/>
              <w:left w:type="dxa" w:w="120"/>
              <w:bottom w:type="dxa" w:w="90"/>
              <w:right w:type="dxa" w:w="120"/>
            </w:tcMar>
          </w:tcPr>
          <w:p>
            <w:r>
              <w:rPr>
                <w:b w:val="false"/>
                <w:bCs w:val="false"/>
                <w:sz w:val="19"/>
                <w:szCs w:val="19"/>
              </w:rPr>
              <w:t xml:space="preserve">Speech to text transcription</w:t>
            </w:r>
          </w:p>
        </w:tc>
        <w:tc>
          <w:tcPr>
            <w:tcW w:type="dxa" w:w="5060"/>
            <w:tcMar>
              <w:top w:type="dxa" w:w="90"/>
              <w:left w:type="dxa" w:w="120"/>
              <w:bottom w:type="dxa" w:w="90"/>
              <w:right w:type="dxa" w:w="120"/>
            </w:tcMar>
          </w:tcPr>
          <w:p>
            <w:r>
              <w:rPr>
                <w:b w:val="false"/>
                <w:bCs w:val="false"/>
                <w:sz w:val="19"/>
                <w:szCs w:val="19"/>
              </w:rPr>
              <w:t xml:space="preserve">European Union. The Processor sends audio to Deepgram's EU endpoint, so audio is processed within the EU and is not transferred to the United States for this purpose.</w:t>
            </w:r>
          </w:p>
        </w:tc>
      </w:tr>
      <w:tr>
        <w:trPr>
          <w:tblHeader w:val="false"/>
        </w:trPr>
        <w:tc>
          <w:tcPr>
            <w:tcW w:type="dxa" w:w="1900"/>
            <w:tcMar>
              <w:top w:type="dxa" w:w="90"/>
              <w:left w:type="dxa" w:w="120"/>
              <w:bottom w:type="dxa" w:w="90"/>
              <w:right w:type="dxa" w:w="120"/>
            </w:tcMar>
          </w:tcPr>
          <w:p>
            <w:r>
              <w:rPr>
                <w:b w:val="false"/>
                <w:bCs w:val="false"/>
                <w:sz w:val="19"/>
                <w:szCs w:val="19"/>
              </w:rPr>
              <w:t xml:space="preserve">Anthropic PBC</w:t>
            </w:r>
          </w:p>
        </w:tc>
        <w:tc>
          <w:tcPr>
            <w:tcW w:type="dxa" w:w="2400"/>
            <w:tcMar>
              <w:top w:type="dxa" w:w="90"/>
              <w:left w:type="dxa" w:w="120"/>
              <w:bottom w:type="dxa" w:w="90"/>
              <w:right w:type="dxa" w:w="120"/>
            </w:tcMar>
          </w:tcPr>
          <w:p>
            <w:r>
              <w:rPr>
                <w:b w:val="false"/>
                <w:bCs w:val="false"/>
                <w:sz w:val="19"/>
                <w:szCs w:val="19"/>
              </w:rPr>
              <w:t xml:space="preserve">Automated scoring of the transcript against the Controller's matrix</w:t>
            </w:r>
          </w:p>
        </w:tc>
        <w:tc>
          <w:tcPr>
            <w:tcW w:type="dxa" w:w="5060"/>
            <w:tcMar>
              <w:top w:type="dxa" w:w="90"/>
              <w:left w:type="dxa" w:w="120"/>
              <w:bottom w:type="dxa" w:w="90"/>
              <w:right w:type="dxa" w:w="120"/>
            </w:tcMar>
          </w:tcPr>
          <w:p>
            <w:r>
              <w:rPr>
                <w:b w:val="false"/>
                <w:bCs w:val="false"/>
                <w:sz w:val="19"/>
                <w:szCs w:val="19"/>
              </w:rPr>
              <w:t xml:space="preserve">United States, under Anthropic's commercial terms, which incorporate the EU Standard Contractual Clauses as amended by the UK International Data Transfer Addendum.</w:t>
            </w:r>
          </w:p>
        </w:tc>
      </w:tr>
      <w:tr>
        <w:trPr>
          <w:tblHeader w:val="false"/>
        </w:trPr>
        <w:tc>
          <w:tcPr>
            <w:tcW w:type="dxa" w:w="1900"/>
            <w:tcMar>
              <w:top w:type="dxa" w:w="90"/>
              <w:left w:type="dxa" w:w="120"/>
              <w:bottom w:type="dxa" w:w="90"/>
              <w:right w:type="dxa" w:w="120"/>
            </w:tcMar>
          </w:tcPr>
          <w:p>
            <w:r>
              <w:rPr>
                <w:b w:val="false"/>
                <w:bCs w:val="false"/>
                <w:sz w:val="19"/>
                <w:szCs w:val="19"/>
              </w:rPr>
              <w:t xml:space="preserve">Amazon Web Services EMEA SARL</w:t>
            </w:r>
          </w:p>
        </w:tc>
        <w:tc>
          <w:tcPr>
            <w:tcW w:type="dxa" w:w="2400"/>
            <w:tcMar>
              <w:top w:type="dxa" w:w="90"/>
              <w:left w:type="dxa" w:w="120"/>
              <w:bottom w:type="dxa" w:w="90"/>
              <w:right w:type="dxa" w:w="120"/>
            </w:tcMar>
          </w:tcPr>
          <w:p>
            <w:r>
              <w:rPr>
                <w:b w:val="false"/>
                <w:bCs w:val="false"/>
                <w:sz w:val="19"/>
                <w:szCs w:val="19"/>
              </w:rPr>
              <w:t xml:space="preserve">Hosting and storage</w:t>
            </w:r>
          </w:p>
        </w:tc>
        <w:tc>
          <w:tcPr>
            <w:tcW w:type="dxa" w:w="5060"/>
            <w:tcMar>
              <w:top w:type="dxa" w:w="90"/>
              <w:left w:type="dxa" w:w="120"/>
              <w:bottom w:type="dxa" w:w="90"/>
              <w:right w:type="dxa" w:w="120"/>
            </w:tcMar>
          </w:tcPr>
          <w:p>
            <w:r>
              <w:rPr>
                <w:b w:val="false"/>
                <w:bCs w:val="false"/>
                <w:sz w:val="19"/>
                <w:szCs w:val="19"/>
              </w:rPr>
              <w:t xml:space="preserve">United Kingdom, London region.</w:t>
            </w:r>
          </w:p>
        </w:tc>
      </w:tr>
    </w:tbl>
    <w:p>
      <w:pPr>
        <w:spacing w:after="140"/>
      </w:pPr>
    </w:p>
    <w:p>
      <w:pPr>
        <w:spacing w:after="140"/>
      </w:pPr>
      <w:r>
        <w:rPr>
          <w:b/>
          <w:bCs/>
          <w:sz w:val="20"/>
          <w:szCs w:val="20"/>
        </w:rPr>
        <w:t xml:space="preserve">No training on the Controller's data. </w:t>
      </w:r>
      <w:r>
        <w:rPr>
          <w:sz w:val="20"/>
          <w:szCs w:val="20"/>
        </w:rPr>
        <w:t xml:space="preserve">The Processor warrants that the personal data will not be used to train, fine-tune or otherwise improve any machine learning model, whether by the Processor or by any sub-processor. The Processor has configured each sub-processor accordingly, including by transmitting the model improvement opt-out on every transcription request.</w:t>
      </w:r>
    </w:p>
    <w:p>
      <w:pPr>
        <w:spacing w:after="140"/>
      </w:pPr>
      <w:r>
        <w:rPr>
          <w:b/>
          <w:bCs/>
          <w:sz w:val="20"/>
          <w:szCs w:val="20"/>
        </w:rPr>
        <w:t xml:space="preserve">International transfers. </w:t>
      </w:r>
      <w:r>
        <w:rPr>
          <w:sz w:val="20"/>
          <w:szCs w:val="20"/>
        </w:rPr>
        <w:t xml:space="preserve">Where a sub-processor processes personal data outside the United Kingdom, the Processor shall ensure an appropriate transfer mechanism is in place under Chapter V of the UK GDPR, and shall provide details to the Controller on request.</w:t>
      </w:r>
    </w:p>
    <w:p>
      <w:pPr>
        <w:spacing w:after="140"/>
      </w:pPr>
      <w:r>
        <w:rPr>
          <w:b/>
          <w:bCs/>
          <w:sz w:val="20"/>
          <w:szCs w:val="20"/>
        </w:rPr>
        <w:t xml:space="preserve">Changes. </w:t>
      </w:r>
      <w:r>
        <w:rPr>
          <w:sz w:val="20"/>
          <w:szCs w:val="20"/>
        </w:rPr>
        <w:t xml:space="preserve">The Processor shall not add or replace a sub-processor during the evaluation. If it becomes necessary to do so, the Processor shall notify the Controller in writing and shall not proceed without the Controller's prior written authorisation.</w:t>
      </w:r>
    </w:p>
    <w:p>
      <w:pPr>
        <w:pStyle w:val="Heading1"/>
        <w:spacing w:after="160" w:before="320"/>
      </w:pPr>
      <w:r>
        <w:rPr>
          <w:b/>
          <w:bCs/>
          <w:color w:val="1F3A5F"/>
          <w:sz w:val="26"/>
          <w:szCs w:val="26"/>
        </w:rPr>
        <w:t xml:space="preserve">7. Retention and deletion</w:t>
      </w:r>
    </w:p>
    <w:p>
      <w:pPr>
        <w:pStyle w:val="ListParagraph"/>
        <w:numPr>
          <w:ilvl w:val="0"/>
          <w:numId w:val="6"/>
        </w:numPr>
        <w:spacing w:after="120"/>
      </w:pPr>
      <w:r>
        <w:rPr>
          <w:sz w:val="20"/>
          <w:szCs w:val="20"/>
        </w:rPr>
        <w:t xml:space="preserve">The Processor shall retain the personal data only for as long as is necessary for the evaluation, and in any event for no longer than 30 days from the date the last recording is received.</w:t>
      </w:r>
    </w:p>
    <w:p>
      <w:pPr>
        <w:pStyle w:val="ListParagraph"/>
        <w:numPr>
          <w:ilvl w:val="0"/>
          <w:numId w:val="6"/>
        </w:numPr>
        <w:spacing w:after="120"/>
      </w:pPr>
      <w:r>
        <w:rPr>
          <w:sz w:val="20"/>
          <w:szCs w:val="20"/>
        </w:rPr>
        <w:t xml:space="preserve">The Processor shall delete all copies of the personal data, including audio, transcripts and derived findings, on the earlier of: the expiry of that 30 day period; written request from the Controller; or the conclusion of the evaluation.</w:t>
      </w:r>
    </w:p>
    <w:p>
      <w:pPr>
        <w:pStyle w:val="ListParagraph"/>
        <w:numPr>
          <w:ilvl w:val="0"/>
          <w:numId w:val="6"/>
        </w:numPr>
        <w:spacing w:after="120"/>
      </w:pPr>
      <w:r>
        <w:rPr>
          <w:sz w:val="20"/>
          <w:szCs w:val="20"/>
        </w:rPr>
        <w:t xml:space="preserve">The Processor shall confirm deletion in writing within 5 working days of it taking place.</w:t>
      </w:r>
    </w:p>
    <w:p>
      <w:pPr>
        <w:pStyle w:val="ListParagraph"/>
        <w:numPr>
          <w:ilvl w:val="0"/>
          <w:numId w:val="6"/>
        </w:numPr>
        <w:spacing w:after="120"/>
      </w:pPr>
      <w:r>
        <w:rPr>
          <w:sz w:val="20"/>
          <w:szCs w:val="20"/>
        </w:rPr>
        <w:t xml:space="preserve">The Controller may instead require the return of the personal data before deletion, in a commonly used electronic format.</w:t>
      </w:r>
    </w:p>
    <w:p>
      <w:pPr>
        <w:pStyle w:val="ListParagraph"/>
        <w:numPr>
          <w:ilvl w:val="0"/>
          <w:numId w:val="6"/>
        </w:numPr>
        <w:spacing w:after="120"/>
      </w:pPr>
      <w:r>
        <w:rPr>
          <w:sz w:val="20"/>
          <w:szCs w:val="20"/>
        </w:rPr>
        <w:t xml:space="preserve">The Processor may retain aggregate statistics about the evaluation, such as the number of calls processed and average processing time, provided those statistics contain no personal data and do not identify the Controller, any individual or any call. Clause 8 continues to apply to everything else.</w:t>
      </w:r>
    </w:p>
    <w:p>
      <w:pPr>
        <w:pStyle w:val="Heading1"/>
        <w:spacing w:after="160" w:before="320"/>
      </w:pPr>
      <w:r>
        <w:rPr>
          <w:b/>
          <w:bCs/>
          <w:color w:val="1F3A5F"/>
          <w:sz w:val="26"/>
          <w:szCs w:val="26"/>
        </w:rPr>
        <w:t xml:space="preserve">8. Confidentiality</w:t>
      </w:r>
    </w:p>
    <w:p>
      <w:pPr>
        <w:pStyle w:val="ListParagraph"/>
        <w:numPr>
          <w:ilvl w:val="0"/>
          <w:numId w:val="7"/>
        </w:numPr>
        <w:spacing w:after="120"/>
      </w:pPr>
      <w:r>
        <w:rPr>
          <w:sz w:val="20"/>
          <w:szCs w:val="20"/>
        </w:rPr>
        <w:t xml:space="preserve">The Processor shall keep the recordings, the Controller's call monitoring matrix, its call scripts and any findings produced confidential, and shall not disclose them to any third party other than the sub-processors named in clause 6.</w:t>
      </w:r>
    </w:p>
    <w:p>
      <w:pPr>
        <w:pStyle w:val="ListParagraph"/>
        <w:numPr>
          <w:ilvl w:val="0"/>
          <w:numId w:val="7"/>
        </w:numPr>
        <w:spacing w:after="120"/>
      </w:pPr>
      <w:r>
        <w:rPr>
          <w:sz w:val="20"/>
          <w:szCs w:val="20"/>
        </w:rPr>
        <w:t xml:space="preserve">The Processor shall not use the recordings, or any excerpt, transcript or finding derived from them, in any demonstration, marketing material or sales conversation with any third party, whether identified or anonymised, without the Controller's prior written consent.</w:t>
      </w:r>
    </w:p>
    <w:p>
      <w:pPr>
        <w:pStyle w:val="ListParagraph"/>
        <w:numPr>
          <w:ilvl w:val="0"/>
          <w:numId w:val="7"/>
        </w:numPr>
        <w:spacing w:after="120"/>
      </w:pPr>
      <w:r>
        <w:rPr>
          <w:sz w:val="20"/>
          <w:szCs w:val="20"/>
        </w:rPr>
        <w:t xml:space="preserve">This clause survives the end of this Agreement and continues for three years from that date.</w:t>
      </w:r>
    </w:p>
    <w:p>
      <w:pPr>
        <w:pStyle w:val="Heading1"/>
        <w:spacing w:after="160" w:before="320"/>
      </w:pPr>
      <w:r>
        <w:rPr>
          <w:b/>
          <w:bCs/>
          <w:color w:val="1F3A5F"/>
          <w:sz w:val="26"/>
          <w:szCs w:val="26"/>
        </w:rPr>
        <w:t xml:space="preserve">9. Liability</w:t>
      </w:r>
    </w:p>
    <w:p>
      <w:pPr>
        <w:pStyle w:val="ListParagraph"/>
        <w:numPr>
          <w:ilvl w:val="0"/>
          <w:numId w:val="8"/>
        </w:numPr>
        <w:spacing w:after="120"/>
      </w:pPr>
      <w:r>
        <w:rPr>
          <w:sz w:val="20"/>
          <w:szCs w:val="20"/>
        </w:rPr>
        <w:t xml:space="preserve">Nothing in this Agreement excludes or limits either party's liability for death or personal injury caused by negligence, for fraud or fraudulent misrepresentation, or for any other liability that cannot lawfully be excluded or limited.</w:t>
      </w:r>
    </w:p>
    <w:p>
      <w:pPr>
        <w:pStyle w:val="ListParagraph"/>
        <w:numPr>
          <w:ilvl w:val="0"/>
          <w:numId w:val="8"/>
        </w:numPr>
        <w:spacing w:after="120"/>
      </w:pPr>
      <w:r>
        <w:rPr>
          <w:sz w:val="20"/>
          <w:szCs w:val="20"/>
        </w:rPr>
        <w:t xml:space="preserve">Subject to the paragraph above, each party's total liability to the other arising out of or in connection with this Agreement, whether in contract, tort including negligence, breach of statutory duty or otherwise, is limited in aggregate to £25,000.</w:t>
      </w:r>
    </w:p>
    <w:p>
      <w:pPr>
        <w:pStyle w:val="ListParagraph"/>
        <w:numPr>
          <w:ilvl w:val="0"/>
          <w:numId w:val="8"/>
        </w:numPr>
        <w:spacing w:after="120"/>
      </w:pPr>
      <w:r>
        <w:rPr>
          <w:sz w:val="20"/>
          <w:szCs w:val="20"/>
        </w:rPr>
        <w:t xml:space="preserve">Neither party is liable to the other for loss of profit, loss of business, loss of anticipated savings or any indirect or consequential loss.</w:t>
      </w:r>
    </w:p>
    <w:p>
      <w:pPr>
        <w:pStyle w:val="ListParagraph"/>
        <w:numPr>
          <w:ilvl w:val="0"/>
          <w:numId w:val="8"/>
        </w:numPr>
        <w:spacing w:after="120"/>
      </w:pPr>
      <w:r>
        <w:rPr>
          <w:sz w:val="20"/>
          <w:szCs w:val="20"/>
        </w:rPr>
        <w:t xml:space="preserve">This clause does not affect either party's liability to a data subject or to the Information Commissioner under Article 82 of the UK GDPR or under the Data Protection Act 2018, which is determined by law and not by this Agreement.</w:t>
      </w:r>
    </w:p>
    <w:p>
      <w:pPr>
        <w:pStyle w:val="Heading1"/>
        <w:spacing w:after="160" w:before="320"/>
      </w:pPr>
      <w:r>
        <w:rPr>
          <w:b/>
          <w:bCs/>
          <w:color w:val="1F3A5F"/>
          <w:sz w:val="26"/>
          <w:szCs w:val="26"/>
        </w:rPr>
        <w:t xml:space="preserve">10. Notices</w:t>
      </w:r>
    </w:p>
    <w:p>
      <w:pPr>
        <w:pStyle w:val="ListParagraph"/>
        <w:numPr>
          <w:ilvl w:val="0"/>
          <w:numId w:val="9"/>
        </w:numPr>
        <w:spacing w:after="120"/>
      </w:pPr>
      <w:r>
        <w:rPr>
          <w:sz w:val="20"/>
          <w:szCs w:val="20"/>
        </w:rPr>
        <w:t xml:space="preserve">Notices under this Agreement, including a personal data breach notification under clause 4, are given in writing by email and are effective on delivery.</w:t>
      </w:r>
    </w:p>
    <w:p>
      <w:pPr>
        <w:spacing w:after="140"/>
      </w:pPr>
      <w:r>
        <w:rPr>
          <w:sz w:val="20"/>
          <w:szCs w:val="20"/>
        </w:rPr>
        <w:t xml:space="preserve">Notices to the Processor: Kofi Vickery, hello@callguardai.co.uk</w:t>
      </w:r>
    </w:p>
    <w:p>
      <w:pPr>
        <w:spacing w:after="140"/>
      </w:pPr>
      <w:r>
        <w:rPr>
          <w:sz w:val="20"/>
          <w:szCs w:val="20"/>
        </w:rPr>
        <w:t xml:space="preserve">Notices to the Controller:</w:t>
      </w:r>
    </w:p>
    <w:p>
      <w:pPr>
        <w:spacing w:after="140"/>
      </w:pPr>
      <w:r>
        <w:rPr>
          <w:sz w:val="20"/>
          <w:szCs w:val="20"/>
        </w:rPr>
        <w:t xml:space="preserve">Name: ......................................................................</w:t>
      </w:r>
    </w:p>
    <w:p>
      <w:pPr>
        <w:spacing w:after="140"/>
      </w:pPr>
      <w:r>
        <w:rPr>
          <w:sz w:val="20"/>
          <w:szCs w:val="20"/>
        </w:rPr>
        <w:t xml:space="preserve">Email: .....................................................................</w:t>
      </w:r>
    </w:p>
    <w:p>
      <w:pPr>
        <w:pStyle w:val="Heading1"/>
        <w:spacing w:after="160" w:before="320"/>
      </w:pPr>
      <w:r>
        <w:rPr>
          <w:b/>
          <w:bCs/>
          <w:color w:val="1F3A5F"/>
          <w:sz w:val="26"/>
          <w:szCs w:val="26"/>
        </w:rPr>
        <w:t xml:space="preserve">11. General</w:t>
      </w:r>
    </w:p>
    <w:p>
      <w:pPr>
        <w:pStyle w:val="ListParagraph"/>
        <w:numPr>
          <w:ilvl w:val="0"/>
          <w:numId w:val="10"/>
        </w:numPr>
        <w:spacing w:after="120"/>
      </w:pPr>
      <w:r>
        <w:rPr>
          <w:sz w:val="20"/>
          <w:szCs w:val="20"/>
        </w:rPr>
        <w:t xml:space="preserve">This Agreement is governed by the law of England and Wales, and the courts of England and Wales have exclusive jurisdiction.</w:t>
      </w:r>
    </w:p>
    <w:p>
      <w:pPr>
        <w:pStyle w:val="ListParagraph"/>
        <w:numPr>
          <w:ilvl w:val="0"/>
          <w:numId w:val="10"/>
        </w:numPr>
        <w:spacing w:after="120"/>
      </w:pPr>
      <w:r>
        <w:rPr>
          <w:sz w:val="20"/>
          <w:szCs w:val="20"/>
        </w:rPr>
        <w:t xml:space="preserve">This Agreement takes effect on the date of the last signature below and continues until deletion is confirmed under clause 7.</w:t>
      </w:r>
    </w:p>
    <w:p>
      <w:pPr>
        <w:pStyle w:val="ListParagraph"/>
        <w:numPr>
          <w:ilvl w:val="0"/>
          <w:numId w:val="10"/>
        </w:numPr>
        <w:spacing w:after="120"/>
      </w:pPr>
      <w:r>
        <w:rPr>
          <w:sz w:val="20"/>
          <w:szCs w:val="20"/>
        </w:rPr>
        <w:t xml:space="preserve">Nothing in this Agreement limits either party's obligations under the UK GDPR or the Data Protection Act 2018.</w:t>
      </w:r>
    </w:p>
    <w:p>
      <w:pPr>
        <w:pStyle w:val="ListParagraph"/>
        <w:numPr>
          <w:ilvl w:val="0"/>
          <w:numId w:val="10"/>
        </w:numPr>
        <w:spacing w:after="120"/>
      </w:pPr>
      <w:r>
        <w:rPr>
          <w:sz w:val="20"/>
          <w:szCs w:val="20"/>
        </w:rPr>
        <w:t xml:space="preserve">This Agreement is the entire agreement between the parties in relation to the processing of the recordings during the evaluation, and replaces any earlier understanding on that subject.</w:t>
      </w:r>
    </w:p>
    <w:p>
      <w:pPr>
        <w:pStyle w:val="ListParagraph"/>
        <w:numPr>
          <w:ilvl w:val="0"/>
          <w:numId w:val="10"/>
        </w:numPr>
        <w:spacing w:after="120"/>
      </w:pPr>
      <w:r>
        <w:rPr>
          <w:sz w:val="20"/>
          <w:szCs w:val="20"/>
        </w:rPr>
        <w:t xml:space="preserve">No variation of this Agreement is effective unless it is in writing and signed by both parties.</w:t>
      </w:r>
    </w:p>
    <w:p>
      <w:pPr>
        <w:pStyle w:val="ListParagraph"/>
        <w:numPr>
          <w:ilvl w:val="0"/>
          <w:numId w:val="10"/>
        </w:numPr>
        <w:spacing w:after="120"/>
      </w:pPr>
      <w:r>
        <w:rPr>
          <w:sz w:val="20"/>
          <w:szCs w:val="20"/>
        </w:rPr>
        <w:t xml:space="preserve">A person who is not a party to this Agreement has no right under the Contracts (Rights of Third Parties) Act 1999 to enforce any of its terms.</w:t>
      </w:r>
    </w:p>
    <w:p>
      <w:pPr>
        <w:pStyle w:val="ListParagraph"/>
        <w:numPr>
          <w:ilvl w:val="0"/>
          <w:numId w:val="10"/>
        </w:numPr>
        <w:spacing w:after="120"/>
      </w:pPr>
      <w:r>
        <w:rPr>
          <w:sz w:val="20"/>
          <w:szCs w:val="20"/>
        </w:rPr>
        <w:t xml:space="preserve">This Agreement may be signed in counterparts, and an electronic signature or a signed copy delivered by email has the same effect as an original.</w:t>
      </w:r>
    </w:p>
    <w:p>
      <w:pPr>
        <w:pStyle w:val="Heading1"/>
        <w:spacing w:after="160" w:before="320"/>
      </w:pPr>
      <w:r>
        <w:rPr>
          <w:b/>
          <w:bCs/>
          <w:color w:val="1F3A5F"/>
          <w:sz w:val="26"/>
          <w:szCs w:val="26"/>
        </w:rPr>
        <w:t xml:space="preserve">Signed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F2F4F7" w:color="auto" w:val="clear"/>
            <w:tcMar>
              <w:top w:type="dxa" w:w="90"/>
              <w:left w:type="dxa" w:w="120"/>
              <w:bottom w:type="dxa" w:w="90"/>
              <w:right w:type="dxa" w:w="120"/>
            </w:tcMar>
          </w:tcPr>
          <w:p>
            <w:r>
              <w:rPr>
                <w:b/>
                <w:bCs/>
                <w:sz w:val="19"/>
                <w:szCs w:val="19"/>
              </w:rPr>
              <w:t xml:space="preserve">For Service Box Group Limited</w:t>
            </w:r>
          </w:p>
        </w:tc>
        <w:tc>
          <w:tcPr>
            <w:tcW w:type="dxa" w:w="4680"/>
            <w:shd w:fill="F2F4F7" w:color="auto" w:val="clear"/>
            <w:tcMar>
              <w:top w:type="dxa" w:w="90"/>
              <w:left w:type="dxa" w:w="120"/>
              <w:bottom w:type="dxa" w:w="90"/>
              <w:right w:type="dxa" w:w="120"/>
            </w:tcMar>
          </w:tcPr>
          <w:p>
            <w:r>
              <w:rPr>
                <w:b/>
                <w:bCs/>
                <w:sz w:val="19"/>
                <w:szCs w:val="19"/>
              </w:rPr>
              <w:t xml:space="preserve">For CallGuard AI Ltd</w:t>
            </w:r>
          </w:p>
        </w:tc>
      </w:tr>
      <w:tr>
        <w:trPr>
          <w:tblHeader w:val="false"/>
        </w:trPr>
        <w:tc>
          <w:tcPr>
            <w:tcW w:type="dxa" w:w="4680"/>
            <w:tcMar>
              <w:top w:type="dxa" w:w="90"/>
              <w:left w:type="dxa" w:w="120"/>
              <w:bottom w:type="dxa" w:w="90"/>
              <w:right w:type="dxa" w:w="120"/>
            </w:tcMar>
          </w:tcPr>
          <w:p>
            <w:r>
              <w:rPr>
                <w:b w:val="false"/>
                <w:bCs w:val="false"/>
                <w:sz w:val="19"/>
                <w:szCs w:val="19"/>
              </w:rPr>
              <w:t xml:space="preserve">Signature:</w:t>
            </w:r>
          </w:p>
        </w:tc>
        <w:tc>
          <w:tcPr>
            <w:tcW w:type="dxa" w:w="4680"/>
            <w:tcMar>
              <w:top w:type="dxa" w:w="90"/>
              <w:left w:type="dxa" w:w="120"/>
              <w:bottom w:type="dxa" w:w="90"/>
              <w:right w:type="dxa" w:w="120"/>
            </w:tcMar>
          </w:tcPr>
          <w:p>
            <w:r>
              <w:rPr>
                <w:b w:val="false"/>
                <w:bCs w:val="false"/>
                <w:sz w:val="19"/>
                <w:szCs w:val="19"/>
              </w:rPr>
              <w:t xml:space="preserve">Signature:</w:t>
            </w:r>
          </w:p>
        </w:tc>
      </w:tr>
      <w:tr>
        <w:trPr>
          <w:tblHeader w:val="false"/>
        </w:trPr>
        <w:tc>
          <w:tcPr>
            <w:tcW w:type="dxa" w:w="4680"/>
            <w:tcMar>
              <w:top w:type="dxa" w:w="90"/>
              <w:left w:type="dxa" w:w="120"/>
              <w:bottom w:type="dxa" w:w="90"/>
              <w:right w:type="dxa" w:w="120"/>
            </w:tcMar>
          </w:tcPr>
          <w:p>
            <w:r>
              <w:rPr>
                <w:b w:val="false"/>
                <w:bCs w:val="false"/>
                <w:sz w:val="19"/>
                <w:szCs w:val="19"/>
              </w:rPr>
              <w:t xml:space="preserve">Name:</w:t>
            </w:r>
          </w:p>
        </w:tc>
        <w:tc>
          <w:tcPr>
            <w:tcW w:type="dxa" w:w="4680"/>
            <w:tcMar>
              <w:top w:type="dxa" w:w="90"/>
              <w:left w:type="dxa" w:w="120"/>
              <w:bottom w:type="dxa" w:w="90"/>
              <w:right w:type="dxa" w:w="120"/>
            </w:tcMar>
          </w:tcPr>
          <w:p>
            <w:r>
              <w:rPr>
                <w:b w:val="false"/>
                <w:bCs w:val="false"/>
                <w:sz w:val="19"/>
                <w:szCs w:val="19"/>
              </w:rPr>
              <w:t xml:space="preserve">Name:  Kofi Vickery</w:t>
            </w:r>
          </w:p>
        </w:tc>
      </w:tr>
      <w:tr>
        <w:trPr>
          <w:tblHeader w:val="false"/>
        </w:trPr>
        <w:tc>
          <w:tcPr>
            <w:tcW w:type="dxa" w:w="4680"/>
            <w:tcMar>
              <w:top w:type="dxa" w:w="90"/>
              <w:left w:type="dxa" w:w="120"/>
              <w:bottom w:type="dxa" w:w="90"/>
              <w:right w:type="dxa" w:w="120"/>
            </w:tcMar>
          </w:tcPr>
          <w:p>
            <w:r>
              <w:rPr>
                <w:b w:val="false"/>
                <w:bCs w:val="false"/>
                <w:sz w:val="19"/>
                <w:szCs w:val="19"/>
              </w:rPr>
              <w:t xml:space="preserve">Position:</w:t>
            </w:r>
          </w:p>
        </w:tc>
        <w:tc>
          <w:tcPr>
            <w:tcW w:type="dxa" w:w="4680"/>
            <w:tcMar>
              <w:top w:type="dxa" w:w="90"/>
              <w:left w:type="dxa" w:w="120"/>
              <w:bottom w:type="dxa" w:w="90"/>
              <w:right w:type="dxa" w:w="120"/>
            </w:tcMar>
          </w:tcPr>
          <w:p>
            <w:r>
              <w:rPr>
                <w:b w:val="false"/>
                <w:bCs w:val="false"/>
                <w:sz w:val="19"/>
                <w:szCs w:val="19"/>
              </w:rPr>
              <w:t xml:space="preserve">Position:  Director</w:t>
            </w:r>
          </w:p>
        </w:tc>
      </w:tr>
      <w:tr>
        <w:trPr>
          <w:tblHeader w:val="false"/>
        </w:trPr>
        <w:tc>
          <w:tcPr>
            <w:tcW w:type="dxa" w:w="4680"/>
            <w:tcMar>
              <w:top w:type="dxa" w:w="90"/>
              <w:left w:type="dxa" w:w="120"/>
              <w:bottom w:type="dxa" w:w="90"/>
              <w:right w:type="dxa" w:w="120"/>
            </w:tcMar>
          </w:tcPr>
          <w:p>
            <w:r>
              <w:rPr>
                <w:b w:val="false"/>
                <w:bCs w:val="false"/>
                <w:sz w:val="19"/>
                <w:szCs w:val="19"/>
              </w:rPr>
              <w:t xml:space="preserve">Date:</w:t>
            </w:r>
          </w:p>
        </w:tc>
        <w:tc>
          <w:tcPr>
            <w:tcW w:type="dxa" w:w="4680"/>
            <w:tcMar>
              <w:top w:type="dxa" w:w="90"/>
              <w:left w:type="dxa" w:w="120"/>
              <w:bottom w:type="dxa" w:w="90"/>
              <w:right w:type="dxa" w:w="120"/>
            </w:tcMar>
          </w:tcPr>
          <w:p>
            <w:r>
              <w:rPr>
                <w:b w:val="false"/>
                <w:bCs w:val="false"/>
                <w:sz w:val="19"/>
                <w:szCs w:val="19"/>
              </w:rPr>
              <w:t xml:space="preserve">Date:</w:t>
            </w:r>
          </w:p>
        </w:tc>
      </w:tr>
    </w:tbl>
    <w:p>
      <w:pPr>
        <w:spacing w:before="320"/>
      </w:pPr>
      <w:r>
        <w:rPr>
          <w:i/>
          <w:iCs/>
          <w:color w:val="667085"/>
          <w:sz w:val="17"/>
          <w:szCs w:val="17"/>
        </w:rPr>
        <w:t xml:space="preserve">CallGuard AI Ltd is registered with the Information Commissioner's Office, registration number ZC177601.</w:t>
      </w:r>
    </w:p>
    <w:sectPr>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abstractNum w:abstractNumId="3" w15:restartNumberingAfterBreak="0">
    <w:multiLevelType w:val="hybridMultilevel"/>
    <w:lvl w:ilvl="0" w15:tentative="1">
      <w:start w:val="1"/>
      <w:numFmt w:val="decimal"/>
      <w:lvlText w:val="1.%1."/>
      <w:lvlJc w:val="left"/>
      <w:pPr>
        <w:ind w:left="792" w:hanging="792"/>
      </w:pPr>
    </w:lvl>
  </w:abstractNum>
  <w:abstractNum w:abstractNumId="4" w15:restartNumberingAfterBreak="0">
    <w:multiLevelType w:val="hybridMultilevel"/>
    <w:lvl w:ilvl="0" w15:tentative="1">
      <w:start w:val="1"/>
      <w:numFmt w:val="decimal"/>
      <w:lvlText w:val="2.%1."/>
      <w:lvlJc w:val="left"/>
      <w:pPr>
        <w:ind w:left="792" w:hanging="792"/>
      </w:pPr>
    </w:lvl>
  </w:abstractNum>
  <w:abstractNum w:abstractNumId="5" w15:restartNumberingAfterBreak="0">
    <w:multiLevelType w:val="hybridMultilevel"/>
    <w:lvl w:ilvl="0" w15:tentative="1">
      <w:start w:val="1"/>
      <w:numFmt w:val="decimal"/>
      <w:lvlText w:val="3.%1."/>
      <w:lvlJc w:val="left"/>
      <w:pPr>
        <w:ind w:left="792" w:hanging="792"/>
      </w:pPr>
    </w:lvl>
  </w:abstractNum>
  <w:abstractNum w:abstractNumId="6" w15:restartNumberingAfterBreak="0">
    <w:multiLevelType w:val="hybridMultilevel"/>
    <w:lvl w:ilvl="0" w15:tentative="1">
      <w:start w:val="1"/>
      <w:numFmt w:val="decimal"/>
      <w:lvlText w:val="4.%1."/>
      <w:lvlJc w:val="left"/>
      <w:pPr>
        <w:ind w:left="792" w:hanging="792"/>
      </w:pPr>
    </w:lvl>
  </w:abstractNum>
  <w:abstractNum w:abstractNumId="7" w15:restartNumberingAfterBreak="0">
    <w:multiLevelType w:val="hybridMultilevel"/>
    <w:lvl w:ilvl="0" w15:tentative="1">
      <w:start w:val="1"/>
      <w:numFmt w:val="decimal"/>
      <w:lvlText w:val="5.%1."/>
      <w:lvlJc w:val="left"/>
      <w:pPr>
        <w:ind w:left="792" w:hanging="792"/>
      </w:pPr>
    </w:lvl>
  </w:abstractNum>
  <w:abstractNum w:abstractNumId="8" w15:restartNumberingAfterBreak="0">
    <w:multiLevelType w:val="hybridMultilevel"/>
    <w:lvl w:ilvl="0" w15:tentative="1">
      <w:start w:val="1"/>
      <w:numFmt w:val="decimal"/>
      <w:lvlText w:val="6.%1."/>
      <w:lvlJc w:val="left"/>
      <w:pPr>
        <w:ind w:left="792" w:hanging="792"/>
      </w:pPr>
    </w:lvl>
  </w:abstractNum>
  <w:abstractNum w:abstractNumId="9" w15:restartNumberingAfterBreak="0">
    <w:multiLevelType w:val="hybridMultilevel"/>
    <w:lvl w:ilvl="0" w15:tentative="1">
      <w:start w:val="1"/>
      <w:numFmt w:val="decimal"/>
      <w:lvlText w:val="7.%1."/>
      <w:lvlJc w:val="left"/>
      <w:pPr>
        <w:ind w:left="792" w:hanging="792"/>
      </w:pPr>
    </w:lvl>
  </w:abstractNum>
  <w:abstractNum w:abstractNumId="10" w15:restartNumberingAfterBreak="0">
    <w:multiLevelType w:val="hybridMultilevel"/>
    <w:lvl w:ilvl="0" w15:tentative="1">
      <w:start w:val="1"/>
      <w:numFmt w:val="decimal"/>
      <w:lvlText w:val="8.%1."/>
      <w:lvlJc w:val="left"/>
      <w:pPr>
        <w:ind w:left="792" w:hanging="792"/>
      </w:pPr>
    </w:lvl>
  </w:abstractNum>
  <w:abstractNum w:abstractNumId="11" w15:restartNumberingAfterBreak="0">
    <w:multiLevelType w:val="hybridMultilevel"/>
    <w:lvl w:ilvl="0" w15:tentative="1">
      <w:start w:val="1"/>
      <w:numFmt w:val="decimal"/>
      <w:lvlText w:val="9.%1."/>
      <w:lvlJc w:val="left"/>
      <w:pPr>
        <w:ind w:left="792" w:hanging="792"/>
      </w:pPr>
    </w:lvl>
  </w:abstractNum>
  <w:abstractNum w:abstractNumId="12" w15:restartNumberingAfterBreak="0">
    <w:multiLevelType w:val="hybridMultilevel"/>
    <w:lvl w:ilvl="0" w15:tentative="1">
      <w:start w:val="1"/>
      <w:numFmt w:val="decimal"/>
      <w:lvlText w:val="10.%1."/>
      <w:lvlJc w:val="left"/>
      <w:pPr>
        <w:ind w:left="792" w:hanging="792"/>
      </w:pPr>
    </w:lvl>
  </w:abstractNum>
  <w:abstractNum w:abstractNumId="13" w15:restartNumberingAfterBreak="0">
    <w:multiLevelType w:val="hybridMultilevel"/>
    <w:lvl w:ilvl="0" w15:tentative="1">
      <w:start w:val="1"/>
      <w:numFmt w:val="decimal"/>
      <w:lvlText w:val="11.%1."/>
      <w:lvlJc w:val="left"/>
      <w:pPr>
        <w:ind w:left="792" w:hanging="792"/>
      </w:pPr>
    </w:lvl>
  </w:abstractNum>
  <w:num w:numId="1">
    <w:abstractNumId w:val="1"/>
    <w:lvlOverride w:ilvl="0">
      <w:startOverride w:val="1"/>
    </w:lvlOverride>
  </w:num>
  <w:num w:numId="2">
    <w:abstractNumId w:val="3"/>
    <w:lvlOverride w:ilvl="0">
      <w:startOverride w:val="1"/>
    </w:lvlOverride>
  </w:num>
  <w:num w:numId="3">
    <w:abstractNumId w:val="5"/>
    <w:lvlOverride w:ilvl="0">
      <w:startOverride w:val="1"/>
    </w:lvlOverride>
  </w:num>
  <w:num w:numId="4">
    <w:abstractNumId w:val="6"/>
    <w:lvlOverride w:ilvl="0">
      <w:startOverride w:val="1"/>
    </w:lvlOverride>
  </w:num>
  <w:num w:numId="5">
    <w:abstractNumId w:val="2"/>
    <w:lvlOverride w:ilvl="0">
      <w:startOverride w:val="1"/>
    </w:lvlOverride>
  </w:num>
  <w:num w:numId="6">
    <w:abstractNumId w:val="9"/>
    <w:lvlOverride w:ilvl="0">
      <w:startOverride w:val="1"/>
    </w:lvlOverride>
  </w:num>
  <w:num w:numId="7">
    <w:abstractNumId w:val="10"/>
    <w:lvlOverride w:ilvl="0">
      <w:startOverride w:val="1"/>
    </w:lvlOverride>
  </w:num>
  <w:num w:numId="8">
    <w:abstractNumId w:val="11"/>
    <w:lvlOverride w:ilvl="0">
      <w:startOverride w:val="1"/>
    </w:lvlOverride>
  </w:num>
  <w:num w:numId="9">
    <w:abstractNumId w:val="12"/>
    <w:lvlOverride w:ilvl="0">
      <w:startOverride w:val="1"/>
    </w:lvlOverride>
  </w:num>
  <w:num w:numId="10">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Evaluation Data Processing Agreement</dc:title>
  <dc:creator>CallGuard AI Ltd</dc:creator>
  <cp:lastModifiedBy>Un-named</cp:lastModifiedBy>
  <cp:revision>1</cp:revision>
  <dcterms:created xsi:type="dcterms:W3CDTF">2026-09-15T12:26:56.640Z</dcterms:created>
  <dcterms:modified xsi:type="dcterms:W3CDTF">2026-09-15T12:26:56.658Z</dcterms:modified>
</cp:coreProperties>
</file>

<file path=docProps/custom.xml><?xml version="1.0" encoding="utf-8"?>
<Properties xmlns="http://schemas.openxmlformats.org/officeDocument/2006/custom-properties" xmlns:vt="http://schemas.openxmlformats.org/officeDocument/2006/docPropsVTypes"/>
</file>