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 w:cs="Noto Sans CJK SC"/>
        </w:rPr>
        <w:t>A线｜Medini 智能体自动化</w:t>
      </w:r>
    </w:p>
    <w:p>
      <w:pPr>
        <w:pStyle w:val="Subtitle"/>
      </w:pPr>
      <w:r>
        <w:rPr>
          <w:rFonts w:ascii="Noto Sans CJK SC" w:hAnsi="Noto Sans CJK SC" w:eastAsia="Noto Sans CJK SC" w:cs="Noto Sans CJK SC"/>
        </w:rPr>
        <w:t>核心规划与实施规格 v1.0</w:t>
      </w:r>
    </w:p>
    <w:p>
      <w:pPr>
        <w:spacing w:after="320"/>
      </w:pPr>
      <w:r>
        <w:rPr>
          <w:rFonts w:ascii="Noto Sans CJK SC" w:hAnsi="Noto Sans CJK SC" w:eastAsia="Noto Sans CJK SC" w:cs="Noto Sans CJK SC"/>
          <w:b w:val="0"/>
          <w:color w:val="65747D"/>
          <w:sz w:val="18"/>
        </w:rPr>
        <w:t>COMAC 二所 · FDE 双项目规划　|　2026-09-21</w:t>
      </w:r>
    </w:p>
    <w:p>
      <w:r>
        <w:rPr>
          <w:rFonts w:ascii="Noto Sans CJK SC" w:hAnsi="Noto Sans CJK SC" w:eastAsia="Noto Sans CJK SC" w:cs="Noto Sans CJK SC"/>
          <w:b/>
        </w:rPr>
        <w:t>项目使命：让现有 Medini 工作流变成可调用、可检查、可恢复的工程能力。</w:t>
      </w:r>
    </w:p>
    <w:p>
      <w:r>
        <w:rPr>
          <w:rFonts w:ascii="Noto Sans CJK SC" w:hAnsi="Noto Sans CJK SC" w:eastAsia="Noto Sans CJK SC" w:cs="Noto Sans CJK SC"/>
        </w:rPr>
        <w:t>本项目在合法授权的 ANSYS medini analyze 环境中，实现从需求材料、受控模型变更到分析、结果回读和证据交付的闭环。复用团队已有“PDF需求解析—逻辑理解—故障树生成/重建—软件操作—结果校核”成果；先盘点再加固，不推倒重做。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5E0E3"/>
          <w:left w:val="single" w:sz="3" w:color="D5E0E3"/>
          <w:bottom w:val="single" w:sz="3" w:color="D5E0E3"/>
          <w:right w:val="single" w:sz="3" w:color="D5E0E3"/>
          <w:insideH w:val="single" w:sz="3" w:color="D5E0E3"/>
          <w:insideV w:val="single" w:sz="3" w:color="D5E0E3"/>
        </w:tblBorders>
      </w:tblPr>
      <w:tblGrid>
        <w:gridCol w:w="2835"/>
        <w:gridCol w:w="6917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EDF3F4"/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b/>
                <w:color w:val="173744"/>
                <w:sz w:val="19"/>
              </w:rPr>
              <w:t>项目要素</w:t>
            </w:r>
          </w:p>
        </w:tc>
        <w:tc>
          <w:tcPr>
            <w:tcW w:type="dxa" w:w="691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EDF3F4"/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b/>
                <w:color w:val="173744"/>
                <w:sz w:val="19"/>
              </w:rPr>
              <w:t>本版决策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仓库建议名</w:t>
            </w:r>
          </w:p>
        </w:tc>
        <w:tc>
          <w:tcPr>
            <w:tcW w:type="dxa" w:w="691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medini-agent-automation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第一用户</w:t>
            </w:r>
          </w:p>
        </w:tc>
        <w:tc>
          <w:tcPr>
            <w:tcW w:type="dxa" w:w="691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安全性分析工程师、现有 Medini 智能体开发者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运行位置</w:t>
            </w:r>
          </w:p>
        </w:tc>
        <w:tc>
          <w:tcPr>
            <w:tcW w:type="dxa" w:w="691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内网 Windows 许可工作站；DSH 为调用入口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首个成果</w:t>
            </w:r>
          </w:p>
        </w:tc>
        <w:tc>
          <w:tcPr>
            <w:tcW w:type="dxa" w:w="691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在项目副本中完成一个真实故障树闭环并回读校核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首期周期</w:t>
            </w:r>
          </w:p>
        </w:tc>
        <w:tc>
          <w:tcPr>
            <w:tcW w:type="dxa" w:w="691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30天形成试用候选；90天形成受控场景交付包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成功标准</w:t>
            </w:r>
          </w:p>
        </w:tc>
        <w:tc>
          <w:tcPr>
            <w:tcW w:type="dxa" w:w="691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真实 Medini 上可复现的工程作业，不以会话演示为准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主要边界</w:t>
            </w:r>
          </w:p>
        </w:tc>
        <w:tc>
          <w:tcPr>
            <w:tcW w:type="dxa" w:w="691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不重写 Medini 求解器；不自动签发安全结论</w:t>
            </w:r>
          </w:p>
        </w:tc>
      </w:tr>
    </w:tbl>
    <w:p>
      <w:pPr>
        <w:spacing w:after="20" w:before="0" w:line="60" w:lineRule="exact"/>
      </w:pPr>
      <w:r>
        <w:rPr>
          <w:rFonts w:ascii="Noto Sans CJK SC" w:hAnsi="Noto Sans CJK SC" w:eastAsia="Noto Sans CJK SC" w:cs="Noto Sans CJK SC"/>
          <w:sz w:val="6"/>
        </w:rPr>
      </w:r>
    </w:p>
    <w:p>
      <w:r>
        <w:rPr>
          <w:rFonts w:ascii="Noto Sans CJK SC" w:hAnsi="Noto Sans CJK SC" w:eastAsia="Noto Sans CJK SC" w:cs="Noto Sans CJK SC"/>
          <w:b/>
        </w:rPr>
        <w:t>与B线的分工。</w:t>
      </w:r>
      <w:r>
        <w:rPr>
          <w:rFonts w:ascii="Noto Sans CJK SC" w:hAnsi="Noto Sans CJK SC" w:eastAsia="Noto Sans CJK SC" w:cs="Noto Sans CJK SC"/>
        </w:rPr>
        <w:t xml:space="preserve"> A线负责商业工具适配、既有工程文件、工作流自动化和实机证据。B线负责不依赖 Medini 的模型、算法及工作台。共用协议与测试输入，不共用唯一的正确性判据。</w:t>
      </w:r>
    </w:p>
    <w:p>
      <w:r>
        <w:rPr>
          <w:rFonts w:ascii="Noto Sans CJK SC" w:hAnsi="Noto Sans CJK SC" w:eastAsia="Noto Sans CJK SC" w:cs="Noto Sans CJK SC"/>
          <w:b/>
        </w:rPr>
        <w:t>文档状态。</w:t>
      </w:r>
      <w:r>
        <w:rPr>
          <w:rFonts w:ascii="Noto Sans CJK SC" w:hAnsi="Noto Sans CJK SC" w:eastAsia="Noto Sans CJK SC" w:cs="Noto Sans CJK SC"/>
        </w:rPr>
        <w:t xml:space="preserve"> 这是可据以开工的建议基线。未取得你们实际安装版本的完整 API 手册、许可证清单和源码，因此下文列出的工具名与路径均为“自建封装接口”，绝不冒充 Medini 官方 API。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01｜范围、事实与第一条闭环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已核实的技术起点</w:t>
      </w:r>
    </w:p>
    <w:p>
      <w:r>
        <w:rPr>
          <w:rFonts w:ascii="Noto Sans CJK SC" w:hAnsi="Noto Sans CJK SC" w:eastAsia="Noto Sans CJK SC" w:cs="Noto Sans CJK SC"/>
        </w:rPr>
        <w:t>官方2023技术资料明确列有集成 JavaScript 引擎的 scripting API，可用于自动化和扩展；官方帮助入口也列有 Scripting and API Documentation。[S02][S04] 这足以支持“先探测原生接口”的路线，但不足以确认全部读写、计算和报告操作都能无人值守完成。</w:t>
      </w:r>
    </w:p>
    <w:p>
      <w:r>
        <w:rPr>
          <w:rFonts w:ascii="Noto Sans CJK SC" w:hAnsi="Noto Sans CJK SC" w:eastAsia="Noto Sans CJK SC" w:cs="Noto Sans CJK SC"/>
        </w:rPr>
        <w:t>Medini 的航空应用涉及多类分析与生命周期工件，不能把“能画故障树”当成整个产品功能覆盖。[S03] 本项目先选你们使用频率最高的一个分析链条，形成可交付自动化，再扩大方法范围。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首个业务切片</w:t>
      </w:r>
    </w:p>
    <w:p>
      <w:r>
        <w:rPr>
          <w:rFonts w:ascii="Noto Sans CJK SC" w:hAnsi="Noto Sans CJK SC" w:eastAsia="Noto Sans CJK SC" w:cs="Noto Sans CJK SC"/>
        </w:rPr>
        <w:t>使用一份经批准的脱敏需求材料和人工建立的参考故障树。Agent提取有来源定位的候选事件及逻辑；工程师确认后，生成变更提案；在Medini项目副本中创建/更新事件与门；保存并重新打开；触发已证实可用的分析；读取模型与结果；输出差异、假设、待审事项及原生工程文件。</w:t>
      </w:r>
    </w:p>
    <w:p>
      <w:r>
        <w:rPr>
          <w:rFonts w:ascii="Noto Sans CJK SC" w:hAnsi="Noto Sans CJK SC" w:eastAsia="Noto Sans CJK SC" w:cs="Noto Sans CJK SC"/>
          <w:b/>
        </w:rPr>
        <w:t>首轮必须分两段验收。</w:t>
      </w:r>
      <w:r>
        <w:rPr>
          <w:rFonts w:ascii="Noto Sans CJK SC" w:hAnsi="Noto Sans CJK SC" w:eastAsia="Noto Sans CJK SC" w:cs="Noto Sans CJK SC"/>
        </w:rPr>
        <w:t xml:space="preserve"> “材料→分析模型”考察专业判断，“已批准模型→Medini执行”考察软件自动化。先用结构化已批准输入打通第二段，避免把文本歧义与接口故障混在一起。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5E0E3"/>
          <w:left w:val="single" w:sz="3" w:color="D5E0E3"/>
          <w:bottom w:val="single" w:sz="3" w:color="D5E0E3"/>
          <w:right w:val="single" w:sz="3" w:color="D5E0E3"/>
          <w:insideH w:val="single" w:sz="3" w:color="D5E0E3"/>
          <w:insideV w:val="single" w:sz="3" w:color="D5E0E3"/>
        </w:tblBorders>
      </w:tblPr>
      <w:tblGrid>
        <w:gridCol w:w="2835"/>
        <w:gridCol w:w="6917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EDF3F4"/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b/>
                <w:color w:val="173744"/>
                <w:sz w:val="19"/>
              </w:rPr>
              <w:t>30天内必须做</w:t>
            </w:r>
          </w:p>
        </w:tc>
        <w:tc>
          <w:tcPr>
            <w:tcW w:type="dxa" w:w="691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EDF3F4"/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b/>
                <w:color w:val="173744"/>
                <w:sz w:val="19"/>
              </w:rPr>
              <w:t>明确不纳入首期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能力探测、读模型、项目副本、事件/门创建与更新</w:t>
            </w:r>
          </w:p>
        </w:tc>
        <w:tc>
          <w:tcPr>
            <w:tcW w:type="dxa" w:w="691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自动完成完整飞机级 FHA/PSSA/SSA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候选变更预览、人工授权、运行、回读、证据包</w:t>
            </w:r>
          </w:p>
        </w:tc>
        <w:tc>
          <w:tcPr>
            <w:tcW w:type="dxa" w:w="691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默认支持全部模块、所有版本与任意大模型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至少一个批准场景的FTA结果对照</w:t>
            </w:r>
          </w:p>
        </w:tc>
        <w:tc>
          <w:tcPr>
            <w:tcW w:type="dxa" w:w="691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依靠自由鼠标点击完成任何未知流程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已有智能体代码评估与可复用Skill整理</w:t>
            </w:r>
          </w:p>
        </w:tc>
        <w:tc>
          <w:tcPr>
            <w:tcW w:type="dxa" w:w="691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绕过许可、改写未公开工程格式、复制专有数据库</w:t>
            </w:r>
          </w:p>
        </w:tc>
      </w:tr>
    </w:tbl>
    <w:p>
      <w:pPr>
        <w:spacing w:after="20" w:before="0" w:line="60" w:lineRule="exact"/>
      </w:pPr>
      <w:r>
        <w:rPr>
          <w:rFonts w:ascii="Noto Sans CJK SC" w:hAnsi="Noto Sans CJK SC" w:eastAsia="Noto Sans CJK SC" w:cs="Noto Sans CJK SC"/>
          <w:sz w:val="6"/>
        </w:rPr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02｜目标架构与接入优先级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三个运行位置</w:t>
      </w:r>
    </w:p>
    <w:p>
      <w:r>
        <w:rPr>
          <w:rFonts w:ascii="Noto Sans CJK SC" w:hAnsi="Noto Sans CJK SC" w:eastAsia="Noto Sans CJK SC" w:cs="Noto Sans CJK SC"/>
          <w:b/>
        </w:rPr>
        <w:t>Windows执行端：</w:t>
      </w:r>
      <w:r>
        <w:rPr>
          <w:rFonts w:ascii="Noto Sans CJK SC" w:hAnsi="Noto Sans CJK SC" w:eastAsia="Noto Sans CJK SC" w:cs="Noto Sans CJK SC"/>
        </w:rPr>
        <w:t xml:space="preserve"> Medini、适配器、受控脚本、任务队列、项目副本及本地证据缓存。版本、工作区与许可由执行端显式报告。</w:t>
      </w:r>
    </w:p>
    <w:p>
      <w:r>
        <w:rPr>
          <w:rFonts w:ascii="Noto Sans CJK SC" w:hAnsi="Noto Sans CJK SC" w:eastAsia="Noto Sans CJK SC" w:cs="Noto Sans CJK SC"/>
          <w:b/>
        </w:rPr>
        <w:t>内网管理端：</w:t>
      </w:r>
      <w:r>
        <w:rPr>
          <w:rFonts w:ascii="Noto Sans CJK SC" w:hAnsi="Noto Sans CJK SC" w:eastAsia="Noto Sans CJK SC" w:cs="Noto Sans CJK SC"/>
        </w:rPr>
        <w:t xml:space="preserve"> 可选的任务索引、证据归档和项目权限服务。首期允许本机运行，避免为自动化额外建设庞大平台。</w:t>
      </w:r>
    </w:p>
    <w:p>
      <w:r>
        <w:rPr>
          <w:rFonts w:ascii="Noto Sans CJK SC" w:hAnsi="Noto Sans CJK SC" w:eastAsia="Noto Sans CJK SC" w:cs="Noto Sans CJK SC"/>
          <w:b/>
        </w:rPr>
        <w:t>模型服务端：</w:t>
      </w:r>
      <w:r>
        <w:rPr>
          <w:rFonts w:ascii="Noto Sans CJK SC" w:hAnsi="Noto Sans CJK SC" w:eastAsia="Noto Sans CJK SC" w:cs="Noto Sans CJK SC"/>
        </w:rPr>
        <w:t xml:space="preserve"> 已部署的内网大模型。仅负责理解、提案和解释；不保存官方项目基线，不直接改写Medini工程，不承担精确概率求解。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一次调用的路径</w:t>
      </w:r>
    </w:p>
    <w:p>
      <w:r>
        <w:rPr>
          <w:rFonts w:ascii="Noto Sans CJK SC" w:hAnsi="Noto Sans CJK SC" w:eastAsia="Noto Sans CJK SC" w:cs="Noto Sans CJK SC"/>
        </w:rPr>
        <w:t>工程师 / DSH → 受控工具入口 → 作业协调器 → Medini适配器 → Medini原生项目与分析 → 独立回读校核 → 证据归档 / 人工发布。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5E0E3"/>
          <w:left w:val="single" w:sz="3" w:color="D5E0E3"/>
          <w:bottom w:val="single" w:sz="3" w:color="D5E0E3"/>
          <w:right w:val="single" w:sz="3" w:color="D5E0E3"/>
          <w:insideH w:val="single" w:sz="3" w:color="D5E0E3"/>
          <w:insideV w:val="single" w:sz="3" w:color="D5E0E3"/>
        </w:tblBorders>
      </w:tblPr>
      <w:tblGrid>
        <w:gridCol w:w="2324"/>
        <w:gridCol w:w="3402"/>
        <w:gridCol w:w="4025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EDF3F4"/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b/>
                <w:color w:val="173744"/>
                <w:sz w:val="18"/>
              </w:rPr>
              <w:t>优先级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EDF3F4"/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b/>
                <w:color w:val="173744"/>
                <w:sz w:val="18"/>
              </w:rPr>
              <w:t>接入方式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EDF3F4"/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b/>
                <w:color w:val="173744"/>
                <w:sz w:val="18"/>
              </w:rPr>
              <w:t>进入条件与边界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1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官方脚本/API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有本地文档、示例及成功回读；优先用于语义读写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2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官方导入导出、模板、批处理入口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文件格式与调用方式已核实；必须记录映射损失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3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操作系统可访问性/UI控件自动化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只处理固定动作；窗口、项目与控件状态校验后执行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4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截图/视觉辅助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用于定位和诊断；无法确认状态即暂停并请求接管</w:t>
            </w:r>
          </w:p>
        </w:tc>
      </w:tr>
    </w:tbl>
    <w:p>
      <w:pPr>
        <w:spacing w:after="20" w:before="0" w:line="60" w:lineRule="exact"/>
      </w:pPr>
      <w:r>
        <w:rPr>
          <w:rFonts w:ascii="Noto Sans CJK SC" w:hAnsi="Noto Sans CJK SC" w:eastAsia="Noto Sans CJK SC" w:cs="Noto Sans CJK SC"/>
          <w:sz w:val="6"/>
        </w:rPr>
      </w:r>
    </w:p>
    <w:p>
      <w:r>
        <w:rPr>
          <w:rFonts w:ascii="Noto Sans CJK SC" w:hAnsi="Noto Sans CJK SC" w:eastAsia="Noto Sans CJK SC" w:cs="Noto Sans CJK SC"/>
          <w:b/>
        </w:rPr>
        <w:t>文件交换桥的降级方案。</w:t>
      </w:r>
      <w:r>
        <w:rPr>
          <w:rFonts w:ascii="Noto Sans CJK SC" w:hAnsi="Noto Sans CJK SC" w:eastAsia="Noto Sans CJK SC" w:cs="Noto Sans CJK SC"/>
        </w:rPr>
        <w:t xml:space="preserve"> 若脚本只能从Medini内启动，可由批准的脚本读取本地请求文件并输出响应文件，或由人触发一次脚本。是否支持常驻循环、命令行或无界面运行须单独证明。半自动执行可以形成真实阶段成果，但不能标成无人值守。</w:t>
      </w:r>
    </w:p>
    <w:p>
      <w:r>
        <w:rPr>
          <w:rFonts w:ascii="Noto Sans CJK SC" w:hAnsi="Noto Sans CJK SC" w:eastAsia="Noto Sans CJK SC" w:cs="Noto Sans CJK SC"/>
          <w:b/>
        </w:rPr>
        <w:t>DSH解耦。</w:t>
      </w:r>
      <w:r>
        <w:rPr>
          <w:rFonts w:ascii="Noto Sans CJK SC" w:hAnsi="Noto Sans CJK SC" w:eastAsia="Noto Sans CJK SC" w:cs="Noto Sans CJK SC"/>
        </w:rPr>
        <w:t xml:space="preserve"> 先做可测试的CLI/本地服务，再按实际DSH版本验证的MCP或工具扩展接入。业务实现不依赖虚构的插件钩子，不分叉重写Harness。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03｜模块与交付责任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5E0E3"/>
          <w:left w:val="single" w:sz="3" w:color="D5E0E3"/>
          <w:bottom w:val="single" w:sz="3" w:color="D5E0E3"/>
          <w:right w:val="single" w:sz="3" w:color="D5E0E3"/>
          <w:insideH w:val="single" w:sz="3" w:color="D5E0E3"/>
          <w:insideV w:val="single" w:sz="3" w:color="D5E0E3"/>
        </w:tblBorders>
      </w:tblPr>
      <w:tblGrid>
        <w:gridCol w:w="2324"/>
        <w:gridCol w:w="3402"/>
        <w:gridCol w:w="4025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EDF3F4"/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b/>
                <w:color w:val="173744"/>
                <w:sz w:val="18"/>
              </w:rPr>
              <w:t>模块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EDF3F4"/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b/>
                <w:color w:val="173744"/>
                <w:sz w:val="18"/>
              </w:rPr>
              <w:t>关键职责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EDF3F4"/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b/>
                <w:color w:val="173744"/>
                <w:sz w:val="18"/>
              </w:rPr>
              <w:t>验收产物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环境诊断器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检测版本、许可模块、脚本能力、工作区与运行条件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environment_report、capabilities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文档入口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提取文本/表格、保留来源定位、标记歧义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requirement_candidates、source_index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领域转换器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统一ID、事件/门语义、单位与假设；映射原生对象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映射表、语义校验、loss_report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变更协调器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差异预览、批准、幂等、锁、恢复与基线校验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ChangeSet、执行日志、恢复记录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Medini适配器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已验证的原生读写、保存、求解、报告、回读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版本化适配包及实机测试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结果检查器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输入输出一致性、设置对齐、结果差异与异常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compare_report、异常分类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证据打包器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固化输入、模型、版本、配置、结果与审批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可校验的 evidence bundle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DSH工具与Skill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将工程作业暴露为小粒度、有权限的能力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工具定义、Skill、示例与手册</w:t>
            </w:r>
          </w:p>
        </w:tc>
      </w:tr>
    </w:tbl>
    <w:p>
      <w:pPr>
        <w:spacing w:after="20" w:before="0" w:line="60" w:lineRule="exact"/>
      </w:pPr>
      <w:r>
        <w:rPr>
          <w:rFonts w:ascii="Noto Sans CJK SC" w:hAnsi="Noto Sans CJK SC" w:eastAsia="Noto Sans CJK SC" w:cs="Noto Sans CJK SC"/>
          <w:sz w:val="6"/>
        </w:rPr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推荐技术组织</w:t>
      </w:r>
    </w:p>
    <w:p>
      <w:r>
        <w:rPr>
          <w:rFonts w:ascii="Noto Sans CJK SC" w:hAnsi="Noto Sans CJK SC" w:eastAsia="Noto Sans CJK SC" w:cs="Noto Sans CJK SC"/>
        </w:rPr>
        <w:t>Windows协调层建议用Python，便于接口封装、文本处理与本地任务运行；Medini侧脚本使用实际安装版本支持的语言与运行环境。若必须用Java/Eclipse扩展，仅在接口探测证实需要后引入。首期本地持久化可用SQLite，集中协作时再接入团队现有数据库与认证。</w:t>
      </w:r>
    </w:p>
    <w:p>
      <w:r>
        <w:rPr>
          <w:rFonts w:ascii="Noto Sans CJK SC" w:hAnsi="Noto Sans CJK SC" w:eastAsia="Noto Sans CJK SC" w:cs="Noto Sans CJK SC"/>
          <w:b/>
        </w:rPr>
        <w:t>两个负责人。</w:t>
      </w:r>
      <w:r>
        <w:rPr>
          <w:rFonts w:ascii="Noto Sans CJK SC" w:hAnsi="Noto Sans CJK SC" w:eastAsia="Noto Sans CJK SC" w:cs="Noto Sans CJK SC"/>
        </w:rPr>
        <w:t xml:space="preserve"> A1负责原生接口与执行恢复，A2负责工作流、材料处理、回读与评测。你负责业务切片与公共接口裁决；安全专家决定模型、假设与结果是否可接受。开发者不自行批准本人的工程结论。</w:t>
      </w:r>
    </w:p>
    <w:p>
      <w:r>
        <w:rPr>
          <w:rFonts w:ascii="Noto Sans CJK SC" w:hAnsi="Noto Sans CJK SC" w:eastAsia="Noto Sans CJK SC" w:cs="Noto Sans CJK SC"/>
          <w:b/>
        </w:rPr>
        <w:t>资产回收要求。</w:t>
      </w:r>
      <w:r>
        <w:rPr>
          <w:rFonts w:ascii="Noto Sans CJK SC" w:hAnsi="Noto Sans CJK SC" w:eastAsia="Noto Sans CJK SC" w:cs="Noto Sans CJK SC"/>
        </w:rPr>
        <w:t xml:space="preserve"> 现有Medini智能体须提交代码位置、操作方式、示例工程、失败记录、已证明能力及依赖；只有经本次实机回归通过的部分才计入生产候选。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04｜自建工具接口契约</w:t>
      </w:r>
    </w:p>
    <w:p>
      <w:r>
        <w:rPr>
          <w:rFonts w:ascii="Noto Sans CJK SC" w:hAnsi="Noto Sans CJK SC" w:eastAsia="Noto Sans CJK SC" w:cs="Noto Sans CJK SC"/>
        </w:rPr>
        <w:t>以下名称是本项目拟定义的外部接口，不是Ansys官方函数。共同字段与状态规范见《双线协作与公共契约》。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5E0E3"/>
          <w:left w:val="single" w:sz="3" w:color="D5E0E3"/>
          <w:bottom w:val="single" w:sz="3" w:color="D5E0E3"/>
          <w:right w:val="single" w:sz="3" w:color="D5E0E3"/>
          <w:insideH w:val="single" w:sz="3" w:color="D5E0E3"/>
          <w:insideV w:val="single" w:sz="3" w:color="D5E0E3"/>
        </w:tblBorders>
      </w:tblPr>
      <w:tblGrid>
        <w:gridCol w:w="2324"/>
        <w:gridCol w:w="3402"/>
        <w:gridCol w:w="4025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EDF3F4"/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b/>
                <w:color w:val="173744"/>
                <w:sz w:val="18"/>
              </w:rPr>
              <w:t>工具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EDF3F4"/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b/>
                <w:color w:val="173744"/>
                <w:sz w:val="18"/>
              </w:rPr>
              <w:t>输入要点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EDF3F4"/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b/>
                <w:color w:val="173744"/>
                <w:sz w:val="18"/>
              </w:rPr>
              <w:t>输出/约束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medini_get_capabilities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worker_id、可选版本要求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操作级 verified / partial / unsupported / unverified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medini_read_project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受控project_id、基线版本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只读模型快照、原生ID映射、映射损失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medini_prepare_change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基线、规范化变更、引用证据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提案摘要、diff、校验结果、patch_hash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medini_apply_change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change_id、有效授权引用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在副本实施；绑定基线、补丁和执行版本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medini_run_analysis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批准模型哈希、配置、能力需求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job_id；不保证所有分析模式均受支持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medini_get_job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job_id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状态、阶段耗时、错误、恢复建议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medini_readback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job_id、预期模型哈希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重新读取原生模型与结果并比较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medini_export_evidence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经过校核的job_id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文件清单、哈希、结果与审批；不等于正式签发</w:t>
            </w:r>
          </w:p>
        </w:tc>
      </w:tr>
    </w:tbl>
    <w:p>
      <w:pPr>
        <w:spacing w:after="20" w:before="0" w:line="60" w:lineRule="exact"/>
      </w:pPr>
      <w:r>
        <w:rPr>
          <w:rFonts w:ascii="Noto Sans CJK SC" w:hAnsi="Noto Sans CJK SC" w:eastAsia="Noto Sans CJK SC" w:cs="Noto Sans CJK SC"/>
          <w:sz w:val="6"/>
        </w:rPr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写入与运行的硬约束</w:t>
      </w:r>
    </w:p>
    <w:p>
      <w:r>
        <w:rPr>
          <w:rFonts w:ascii="Noto Sans CJK SC" w:hAnsi="Noto Sans CJK SC" w:eastAsia="Noto Sans CJK SC" w:cs="Noto Sans CJK SC"/>
        </w:rPr>
        <w:t>每个写入请求带 expected_baseline_hash、idempotency_key、patch_hash。审批由受信任的人机界面生成，服务端校验授权人、权限、范围与有效期；Agent不能通过传入“approved=true”自批。</w:t>
      </w:r>
    </w:p>
    <w:p>
      <w:r>
        <w:rPr>
          <w:rFonts w:ascii="Noto Sans CJK SC" w:hAnsi="Noto Sans CJK SC" w:eastAsia="Noto Sans CJK SC" w:cs="Noto Sans CJK SC"/>
        </w:rPr>
        <w:t>同一幂等键与同一载荷返回既有作业；同一键配不同载荷拒绝。共享工作区初期采用单写者排队。副本分析可以自动运行，但从副本升级为正式基线必须再次核验授权与当前版本。</w:t>
      </w:r>
    </w:p>
    <w:p>
      <w:r>
        <w:rPr>
          <w:rFonts w:ascii="Noto Sans CJK SC" w:hAnsi="Noto Sans CJK SC" w:eastAsia="Noto Sans CJK SC" w:cs="Noto Sans CJK SC"/>
        </w:rPr>
        <w:t>用户路径先解析到获准工作区，不能让模型提供任意磁盘路径。对外执行仅接受结构化参数和审核后的脚本模板，不开放任意eval、任意shell或动态联网安装。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05｜作业状态机、故障恢复与证据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状态机</w:t>
      </w:r>
    </w:p>
    <w:p>
      <w:r>
        <w:rPr>
          <w:rFonts w:ascii="Noto Sans CJK SC" w:hAnsi="Noto Sans CJK SC" w:eastAsia="Noto Sans CJK SC" w:cs="Noto Sans CJK SC"/>
        </w:rPr>
        <w:t>received → validated → awaiting_approval → queued → running → readback → verified。</w:t>
      </w:r>
    </w:p>
    <w:p>
      <w:r>
        <w:rPr>
          <w:rFonts w:ascii="Noto Sans CJK SC" w:hAnsi="Noto Sans CJK SC" w:eastAsia="Noto Sans CJK SC" w:cs="Noto Sans CJK SC"/>
        </w:rPr>
        <w:t>分支状态为 blocked、failed、cancelled、recovery_required。是否正式发布由独立审批流程决定；verified仅表示本次规定的技术校验通过。</w:t>
      </w:r>
    </w:p>
    <w:p>
      <w:r>
        <w:rPr>
          <w:rFonts w:ascii="Noto Sans CJK SC" w:hAnsi="Noto Sans CJK SC" w:eastAsia="Noto Sans CJK SC" w:cs="Noto Sans CJK SC"/>
          <w:b/>
        </w:rPr>
        <w:t>事务边界。</w:t>
      </w:r>
      <w:r>
        <w:rPr>
          <w:rFonts w:ascii="Noto Sans CJK SC" w:hAnsi="Noto Sans CJK SC" w:eastAsia="Noto Sans CJK SC" w:cs="Noto Sans CJK SC"/>
        </w:rPr>
        <w:t xml:space="preserve"> 普通数据库事务不能回滚外部GUI副作用。每次修改使用项目副本、阶段快照和操作日志；发生不确定副作用时先回读再决定继续，不盲目重试。恢复目标是回到可证明的状态，而不是假装支持跨应用ACID事务。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5E0E3"/>
          <w:left w:val="single" w:sz="3" w:color="D5E0E3"/>
          <w:bottom w:val="single" w:sz="3" w:color="D5E0E3"/>
          <w:right w:val="single" w:sz="3" w:color="D5E0E3"/>
          <w:insideH w:val="single" w:sz="3" w:color="D5E0E3"/>
          <w:insideV w:val="single" w:sz="3" w:color="D5E0E3"/>
        </w:tblBorders>
      </w:tblPr>
      <w:tblGrid>
        <w:gridCol w:w="2835"/>
        <w:gridCol w:w="6917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EDF3F4"/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b/>
                <w:color w:val="173744"/>
                <w:sz w:val="19"/>
              </w:rPr>
              <w:t>故障</w:t>
            </w:r>
          </w:p>
        </w:tc>
        <w:tc>
          <w:tcPr>
            <w:tcW w:type="dxa" w:w="691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EDF3F4"/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b/>
                <w:color w:val="173744"/>
                <w:sz w:val="19"/>
              </w:rPr>
              <w:t>必须行为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许可不可用、软件未启动</w:t>
            </w:r>
          </w:p>
        </w:tc>
        <w:tc>
          <w:tcPr>
            <w:tcW w:type="dxa" w:w="691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进入blocked；保留输入，不消耗无限重试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项目版本冲突或用户手工修改</w:t>
            </w:r>
          </w:p>
        </w:tc>
        <w:tc>
          <w:tcPr>
            <w:tcW w:type="dxa" w:w="691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拒绝写入；重新生成diff和授权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保存后崩溃/响应超时</w:t>
            </w:r>
          </w:p>
        </w:tc>
        <w:tc>
          <w:tcPr>
            <w:tcW w:type="dxa" w:w="691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标记副作用未知；校验副本后再恢复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弹窗、锁屏、窗口丢失</w:t>
            </w:r>
          </w:p>
        </w:tc>
        <w:tc>
          <w:tcPr>
            <w:tcW w:type="dxa" w:w="691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停止相关UI动作；显示接管点，不继续盲点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任务取消</w:t>
            </w:r>
          </w:p>
        </w:tc>
        <w:tc>
          <w:tcPr>
            <w:tcW w:type="dxa" w:w="691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请求停止；实际停止未确认时不得报告已取消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不支持的门、概率模型或字段</w:t>
            </w:r>
          </w:p>
        </w:tc>
        <w:tc>
          <w:tcPr>
            <w:tcW w:type="dxa" w:w="691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明确拒绝/标记损失；不静默简化</w:t>
            </w:r>
          </w:p>
        </w:tc>
      </w:tr>
    </w:tbl>
    <w:p>
      <w:pPr>
        <w:spacing w:after="20" w:before="0" w:line="60" w:lineRule="exact"/>
      </w:pPr>
      <w:r>
        <w:rPr>
          <w:rFonts w:ascii="Noto Sans CJK SC" w:hAnsi="Noto Sans CJK SC" w:eastAsia="Noto Sans CJK SC" w:cs="Noto Sans CJK SC"/>
          <w:sz w:val="6"/>
        </w:rPr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每次作业的证据包</w:t>
      </w:r>
    </w:p>
    <w:p>
      <w:r>
        <w:rPr>
          <w:rFonts w:ascii="Noto Sans CJK SC" w:hAnsi="Noto Sans CJK SC" w:eastAsia="Noto Sans CJK SC" w:cs="Noto Sans CJK SC"/>
        </w:rPr>
        <w:t>输入原文件与哈希；来源定位；原生工程前后快照；规范化模型；变更提案与授权引用；Medini/适配器/DSH版本；求解配置；原始结果；规范化结果；回读差异；日志与必要截图；人工校核记录；文件清单及校验和。</w:t>
      </w:r>
    </w:p>
    <w:p>
      <w:r>
        <w:rPr>
          <w:rFonts w:ascii="Noto Sans CJK SC" w:hAnsi="Noto Sans CJK SC" w:eastAsia="Noto Sans CJK SC" w:cs="Noto Sans CJK SC"/>
        </w:rPr>
        <w:t>截图是辅助证据，不是唯一的模型证据。应优先保留结构化回读、原生文件和重开后的状态。审计哈希只能帮助检错/发现篡改，还需要权限隔离、受控存储和备份来保护记录。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06｜真实环境探测清单与两周闸门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第1—3天的接口事实调查</w:t>
      </w:r>
    </w:p>
    <w:p>
      <w:r>
        <w:rPr>
          <w:rFonts w:ascii="Noto Sans CJK SC" w:hAnsi="Noto Sans CJK SC" w:eastAsia="Noto Sans CJK SC" w:cs="Noto Sans CJK SC"/>
        </w:rPr>
        <w:t>记录Medini版本/build、许可模块、Windows环境、语言与缩放、安装位置、工作区约束、脚本文档、脚本引擎、导入导出菜单及原有智能体。只读取本地被授权资料与样例，不联网传输真实工程文件。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5E0E3"/>
          <w:left w:val="single" w:sz="3" w:color="D5E0E3"/>
          <w:bottom w:val="single" w:sz="3" w:color="D5E0E3"/>
          <w:right w:val="single" w:sz="3" w:color="D5E0E3"/>
          <w:insideH w:val="single" w:sz="3" w:color="D5E0E3"/>
          <w:insideV w:val="single" w:sz="3" w:color="D5E0E3"/>
        </w:tblBorders>
      </w:tblPr>
      <w:tblGrid>
        <w:gridCol w:w="2835"/>
        <w:gridCol w:w="6917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EDF3F4"/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b/>
                <w:color w:val="173744"/>
                <w:sz w:val="19"/>
              </w:rPr>
              <w:t>探针</w:t>
            </w:r>
          </w:p>
        </w:tc>
        <w:tc>
          <w:tcPr>
            <w:tcW w:type="dxa" w:w="691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EDF3F4"/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b/>
                <w:color w:val="173744"/>
                <w:sz w:val="19"/>
              </w:rPr>
              <w:t>最小成功证据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只读</w:t>
            </w:r>
          </w:p>
        </w:tc>
        <w:tc>
          <w:tcPr>
            <w:tcW w:type="dxa" w:w="691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返回项目、一个事件及其属性，并与界面/原生导出核对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创建</w:t>
            </w:r>
          </w:p>
        </w:tc>
        <w:tc>
          <w:tcPr>
            <w:tcW w:type="dxa" w:w="691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在副本建立两个基本事件、一个OR门和稳定映射ID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更新</w:t>
            </w:r>
          </w:p>
        </w:tc>
        <w:tc>
          <w:tcPr>
            <w:tcW w:type="dxa" w:w="691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修改一个概率/属性，保存重开后仍一致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分析</w:t>
            </w:r>
          </w:p>
        </w:tc>
        <w:tc>
          <w:tcPr>
            <w:tcW w:type="dxa" w:w="691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触发指定模式并取得机器可读结果及配置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导出</w:t>
            </w:r>
          </w:p>
        </w:tc>
        <w:tc>
          <w:tcPr>
            <w:tcW w:type="dxa" w:w="691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生成指定报告/原生项目并核对内容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恢复</w:t>
            </w:r>
          </w:p>
        </w:tc>
        <w:tc>
          <w:tcPr>
            <w:tcW w:type="dxa" w:w="691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至少一次中断后确认项目状态并安全恢复或退出</w:t>
            </w:r>
          </w:p>
        </w:tc>
      </w:tr>
    </w:tbl>
    <w:p>
      <w:pPr>
        <w:spacing w:after="20" w:before="0" w:line="60" w:lineRule="exact"/>
      </w:pPr>
      <w:r>
        <w:rPr>
          <w:rFonts w:ascii="Noto Sans CJK SC" w:hAnsi="Noto Sans CJK SC" w:eastAsia="Noto Sans CJK SC" w:cs="Noto Sans CJK SC"/>
          <w:sz w:val="6"/>
        </w:rPr>
      </w:r>
    </w:p>
    <w:p>
      <w:r>
        <w:rPr>
          <w:rFonts w:ascii="Noto Sans CJK SC" w:hAnsi="Noto Sans CJK SC" w:eastAsia="Noto Sans CJK SC" w:cs="Noto Sans CJK SC"/>
          <w:b/>
        </w:rPr>
        <w:t>能力状态必须按操作记录。</w:t>
      </w:r>
      <w:r>
        <w:rPr>
          <w:rFonts w:ascii="Noto Sans CJK SC" w:hAnsi="Noto Sans CJK SC" w:eastAsia="Noto Sans CJK SC" w:cs="Noto Sans CJK SC"/>
        </w:rPr>
        <w:t xml:space="preserve"> 读模型成功，不代表写入或求解成功；脚本运行成功，不代表支持外部无人值守调用；厂商资料存在，不代表用户许可证已包含该能力。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第10个工作日的分流决策</w:t>
      </w:r>
    </w:p>
    <w:p>
      <w:r>
        <w:rPr>
          <w:rFonts w:ascii="Noto Sans CJK SC" w:hAnsi="Noto Sans CJK SC" w:eastAsia="Noto Sans CJK SC" w:cs="Noto Sans CJK SC"/>
          <w:b/>
        </w:rPr>
        <w:t>路径A：原生闭环可用。</w:t>
      </w:r>
      <w:r>
        <w:rPr>
          <w:rFonts w:ascii="Noto Sans CJK SC" w:hAnsi="Noto Sans CJK SC" w:eastAsia="Noto Sans CJK SC" w:cs="Noto Sans CJK SC"/>
        </w:rPr>
        <w:t xml:space="preserve"> 固化脚本模板和适配器，进入批量工作流与异常恢复开发。</w:t>
      </w:r>
    </w:p>
    <w:p>
      <w:r>
        <w:rPr>
          <w:rFonts w:ascii="Noto Sans CJK SC" w:hAnsi="Noto Sans CJK SC" w:eastAsia="Noto Sans CJK SC" w:cs="Noto Sans CJK SC"/>
          <w:b/>
        </w:rPr>
        <w:t>路径B：核心读写可用，少量步骤需人触发。</w:t>
      </w:r>
      <w:r>
        <w:rPr>
          <w:rFonts w:ascii="Noto Sans CJK SC" w:hAnsi="Noto Sans CJK SC" w:eastAsia="Noto Sans CJK SC" w:cs="Noto Sans CJK SC"/>
        </w:rPr>
        <w:t xml:space="preserve"> 先交付半自动版，明确人工动作清单和耗时，不用脆弱GUI链条掩盖接口缺口。</w:t>
      </w:r>
    </w:p>
    <w:p>
      <w:r>
        <w:rPr>
          <w:rFonts w:ascii="Noto Sans CJK SC" w:hAnsi="Noto Sans CJK SC" w:eastAsia="Noto Sans CJK SC" w:cs="Noto Sans CJK SC"/>
          <w:b/>
        </w:rPr>
        <w:t>路径C：关键接口不可用。</w:t>
      </w:r>
      <w:r>
        <w:rPr>
          <w:rFonts w:ascii="Noto Sans CJK SC" w:hAnsi="Noto Sans CJK SC" w:eastAsia="Noto Sans CJK SC" w:cs="Noto Sans CJK SC"/>
        </w:rPr>
        <w:t xml:space="preserve"> 将一期范围收缩为“材料整理、导入包生成、结果回读、变更比较”，向软件供应方提交精确接口问题。A线仍可产生价值，但取消未被证明的无人值守承诺；B线按既定契约继续独立研发。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07｜首30天工作包</w:t>
      </w:r>
    </w:p>
    <w:p>
      <w:r>
        <w:rPr>
          <w:rFonts w:ascii="Noto Sans CJK SC" w:hAnsi="Noto Sans CJK SC" w:eastAsia="Noto Sans CJK SC" w:cs="Noto Sans CJK SC"/>
        </w:rPr>
        <w:t>工期按两名专项开发者、已可使用的许可工作站和每周固定专家评审估算。顺序可并行，验收门槛不可跳过。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5E0E3"/>
          <w:left w:val="single" w:sz="3" w:color="D5E0E3"/>
          <w:bottom w:val="single" w:sz="3" w:color="D5E0E3"/>
          <w:right w:val="single" w:sz="3" w:color="D5E0E3"/>
          <w:insideH w:val="single" w:sz="3" w:color="D5E0E3"/>
          <w:insideV w:val="single" w:sz="3" w:color="D5E0E3"/>
        </w:tblBorders>
      </w:tblPr>
      <w:tblGrid>
        <w:gridCol w:w="2324"/>
        <w:gridCol w:w="3402"/>
        <w:gridCol w:w="4025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EDF3F4"/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b/>
                <w:color w:val="173744"/>
                <w:sz w:val="18"/>
              </w:rPr>
              <w:t>时间/工作包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EDF3F4"/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b/>
                <w:color w:val="173744"/>
                <w:sz w:val="18"/>
              </w:rPr>
              <w:t>任务与责任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EDF3F4"/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b/>
                <w:color w:val="173744"/>
                <w:sz w:val="18"/>
              </w:rPr>
              <w:t>可见交付/完成定义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D1—3 / A00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A1盘点实机；A2复盘既有成果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能力矩阵、环境报告、失败清单、首例冻结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D4—7 / A01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A1打通原生只读及副本创建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真实软件上保存、重开与回读；无接口则出阻塞证据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D4—10 / A02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A2实现模型规范化与映射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ID、单位、概率类型与来源完整；损失可见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D8—14 / A03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A1实现变更、授权与作业协调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预览后执行；旧基线/重复请求测试通过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D8—14 / A04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A2建立独立回读与对照测试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输入/模型/设置/结果四类差异分开显示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D15—21 / A05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双人打通分析、报告与中断恢复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一个完整端到端实机作业；保留可复跑工件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D15—24 / A06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A2加材料提取、歧义清单与Skill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候选信息有定位；专家确认后才能进入写入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D22—27 / A07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A1离线安装与版本锁定；A2回归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干净Windows环境安装、断网首启、错误场景测试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D28—30 / A08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双人交叉测试；专家试用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冻结范围、已知缺陷、完整证据包及下一迭代清单</w:t>
            </w:r>
          </w:p>
        </w:tc>
      </w:tr>
    </w:tbl>
    <w:p>
      <w:pPr>
        <w:spacing w:after="20" w:before="0" w:line="60" w:lineRule="exact"/>
      </w:pPr>
      <w:r>
        <w:rPr>
          <w:rFonts w:ascii="Noto Sans CJK SC" w:hAnsi="Noto Sans CJK SC" w:eastAsia="Noto Sans CJK SC" w:cs="Noto Sans CJK SC"/>
          <w:sz w:val="6"/>
        </w:rPr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第一次72小时验收</w:t>
      </w:r>
    </w:p>
    <w:p>
      <w:r>
        <w:rPr>
          <w:rFonts w:ascii="Noto Sans CJK SC" w:hAnsi="Noto Sans CJK SC" w:eastAsia="Noto Sans CJK SC" w:cs="Noto Sans CJK SC"/>
        </w:rPr>
        <w:t>以结构化模型为输入，在真实Medini副本上完成“OR树创建→保存重开→原生回读”。具备可调用求解入口时同步计算；否则单列为未完成。可以先无UI、无自然语言入口，不能以Mock替代实机证据。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30天候选版交付</w:t>
      </w:r>
    </w:p>
    <w:p>
      <w:r>
        <w:rPr>
          <w:rFonts w:ascii="Noto Sans CJK SC" w:hAnsi="Noto Sans CJK SC" w:eastAsia="Noto Sans CJK SC" w:cs="Noto Sans CJK SC"/>
        </w:rPr>
        <w:t>源码与锁文件、离线依赖清单、环境诊断命令、适配脚本、CLI/工具接口、两个已验证Skill、示例工程、测试报告、操作/恢复手册、能力与限制矩阵、证据样包。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08｜评测体系与验收口径</w:t>
      </w:r>
    </w:p>
    <w:p>
      <w:r>
        <w:rPr>
          <w:rFonts w:ascii="Noto Sans CJK SC" w:hAnsi="Noto Sans CJK SC" w:eastAsia="Noto Sans CJK SC" w:cs="Noto Sans CJK SC"/>
          <w:b/>
        </w:rPr>
        <w:t>三层评测分开计分。</w:t>
      </w:r>
      <w:r>
        <w:rPr>
          <w:rFonts w:ascii="Noto Sans CJK SC" w:hAnsi="Noto Sans CJK SC" w:eastAsia="Noto Sans CJK SC" w:cs="Noto Sans CJK SC"/>
        </w:rPr>
        <w:t xml:space="preserve"> 接口执行正确性、数学/模型正确性、Agent专业任务完成率。一个层次通过不能替代另一个层次。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5E0E3"/>
          <w:left w:val="single" w:sz="3" w:color="D5E0E3"/>
          <w:bottom w:val="single" w:sz="3" w:color="D5E0E3"/>
          <w:right w:val="single" w:sz="3" w:color="D5E0E3"/>
          <w:insideH w:val="single" w:sz="3" w:color="D5E0E3"/>
          <w:insideV w:val="single" w:sz="3" w:color="D5E0E3"/>
        </w:tblBorders>
      </w:tblPr>
      <w:tblGrid>
        <w:gridCol w:w="2324"/>
        <w:gridCol w:w="3402"/>
        <w:gridCol w:w="4025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EDF3F4"/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b/>
                <w:color w:val="173744"/>
                <w:sz w:val="18"/>
              </w:rPr>
              <w:t>维度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EDF3F4"/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b/>
                <w:color w:val="173744"/>
                <w:sz w:val="18"/>
              </w:rPr>
              <w:t>30—90天建议门槛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EDF3F4"/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b/>
                <w:color w:val="173744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核心实机流程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每个获准流程连续10次运行无静默错误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覆盖至少3个模型快照；人工步骤单独计数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写入一致性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事件身份、门逻辑、引用、数值与单位全部相符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支持范围内必须100%；布局可分开比较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故障处置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许可失败、冲突、中断、取消、重复请求均有测试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不确定副作用必须进入恢复状态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证据完整性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每次受控作业必需工件齐全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缺版本/配置/授权/输入哈希则不放行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工程试点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10个Gold Case：建议7个开发、3个封存迁移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是本双项目新建目标，不冒用CFD案例数量为已有资产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提效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人工有效操作时间中位数下降30%以上为初始目标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与同一批准任务人工流程对比；非当前实测结果</w:t>
            </w:r>
          </w:p>
        </w:tc>
      </w:tr>
    </w:tbl>
    <w:p>
      <w:pPr>
        <w:spacing w:after="20" w:before="0" w:line="60" w:lineRule="exact"/>
      </w:pPr>
      <w:r>
        <w:rPr>
          <w:rFonts w:ascii="Noto Sans CJK SC" w:hAnsi="Noto Sans CJK SC" w:eastAsia="Noto Sans CJK SC" w:cs="Noto Sans CJK SC"/>
          <w:sz w:val="6"/>
        </w:rPr>
      </w:r>
    </w:p>
    <w:p>
      <w:r>
        <w:rPr>
          <w:rFonts w:ascii="Noto Sans CJK SC" w:hAnsi="Noto Sans CJK SC" w:eastAsia="Noto Sans CJK SC" w:cs="Noto Sans CJK SC"/>
        </w:rPr>
        <w:t>10次稳定运行只是试用闸门，不能证明所有任务的统计可靠性。报告必须公布分母、失败、人工接管及不支持项，不能只展示成功作业。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迁移验收</w:t>
      </w:r>
    </w:p>
    <w:p>
      <w:r>
        <w:rPr>
          <w:rFonts w:ascii="Noto Sans CJK SC" w:hAnsi="Noto Sans CJK SC" w:eastAsia="Noto Sans CJK SC" w:cs="Noto Sans CJK SC"/>
        </w:rPr>
        <w:t>专家保管3个未参与开发的同类新任务；适用范围、必需信息、允许的人工确认动作在测试前冻结。测试期间不得针对封存答案修改Skill、模板或代码。出现修复后应使用新的封存任务重测，不能继续称原题为盲测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比較设置</w:t>
      </w:r>
    </w:p>
    <w:p>
      <w:r>
        <w:rPr>
          <w:rFonts w:ascii="Noto Sans CJK SC" w:hAnsi="Noto Sans CJK SC" w:eastAsia="Noto Sans CJK SC" w:cs="Noto Sans CJK SC"/>
        </w:rPr>
        <w:t>比较前对齐事件身份、逻辑、量纲、任务时间、修复/潜伏假设、概率计算方法、截断阈值和输出指标。不同设置的差异标记为“不可直接比较”。Medini结果是工程参照，不是唯一真值；至少保留手算/穷举的独立小模型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09｜90天与6/12/24个月路线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5E0E3"/>
          <w:left w:val="single" w:sz="3" w:color="D5E0E3"/>
          <w:bottom w:val="single" w:sz="3" w:color="D5E0E3"/>
          <w:right w:val="single" w:sz="3" w:color="D5E0E3"/>
          <w:insideH w:val="single" w:sz="3" w:color="D5E0E3"/>
          <w:insideV w:val="single" w:sz="3" w:color="D5E0E3"/>
        </w:tblBorders>
      </w:tblPr>
      <w:tblGrid>
        <w:gridCol w:w="2324"/>
        <w:gridCol w:w="3402"/>
        <w:gridCol w:w="4025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EDF3F4"/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b/>
                <w:color w:val="173744"/>
                <w:sz w:val="18"/>
              </w:rPr>
              <w:t>阶段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EDF3F4"/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b/>
                <w:color w:val="173744"/>
                <w:sz w:val="18"/>
              </w:rPr>
              <w:t>A线目标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EDF3F4"/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b/>
                <w:color w:val="173744"/>
                <w:sz w:val="18"/>
              </w:rPr>
              <w:t>进入下一阶段的条件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D31—60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FTA试点加固；视已验证接口扩展FMEA数据操作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核心闭环稳定，已知映射损失可控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D61—90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跨人员试用、10例测试集、版本兼容与支持手册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封存任务验收、独立审查、恢复与备份演练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6个月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两类高频安全分析流程的受控自动化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人工时节省有证据；培训后工程师能独立使用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12个月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多工作站任务治理、选定版本维护、B线对照回归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无单点知识依赖；升级有兼容矩阵与回退包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24个月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稳定适配与迁移通道，按业务决定保留范围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B线替代按方法和任务逐项批准；A线可长期保留</w:t>
            </w:r>
          </w:p>
        </w:tc>
      </w:tr>
    </w:tbl>
    <w:p>
      <w:pPr>
        <w:spacing w:after="20" w:before="0" w:line="60" w:lineRule="exact"/>
      </w:pPr>
      <w:r>
        <w:rPr>
          <w:rFonts w:ascii="Noto Sans CJK SC" w:hAnsi="Noto Sans CJK SC" w:eastAsia="Noto Sans CJK SC" w:cs="Noto Sans CJK SC"/>
          <w:sz w:val="6"/>
        </w:rPr>
      </w:r>
    </w:p>
    <w:p>
      <w:r>
        <w:rPr>
          <w:rFonts w:ascii="Noto Sans CJK SC" w:hAnsi="Noto Sans CJK SC" w:eastAsia="Noto Sans CJK SC" w:cs="Noto Sans CJK SC"/>
        </w:rPr>
        <w:t>所有阶段为资源与验证条件满足时的计划，不承诺自动成为适航可接受工具。新模块、新软件版本、新算法模式各自重新进入适用性评审。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提效与维护的经济账</w:t>
      </w:r>
    </w:p>
    <w:p>
      <w:r>
        <w:rPr>
          <w:rFonts w:ascii="Noto Sans CJK SC" w:hAnsi="Noto Sans CJK SC" w:eastAsia="Noto Sans CJK SC" w:cs="Noto Sans CJK SC"/>
        </w:rPr>
        <w:t>单次净节省工时＝原人工工时－辅助流程人工工时－摊销的失败恢复与复核工时。月净节省＝获准任务次数×单次净节省－版本维护、用户支持与回归工时。工程师时薪或内部成本由单位另行填入，本计划不假设商业报价。</w:t>
      </w:r>
    </w:p>
    <w:p>
      <w:r>
        <w:rPr>
          <w:rFonts w:ascii="Noto Sans CJK SC" w:hAnsi="Noto Sans CJK SC" w:eastAsia="Noto Sans CJK SC" w:cs="Noto Sans CJK SC"/>
        </w:rPr>
        <w:t>若一个流程每月几乎不用、接口又高度脆弱，则保留人工步骤比持续维护RPA更合理。优先投入重复频率高、规则明确、可回读校核的流程。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开放问题与负责人</w:t>
      </w:r>
    </w:p>
    <w:p>
      <w:r>
        <w:rPr>
          <w:rFonts w:ascii="Noto Sans CJK SC" w:hAnsi="Noto Sans CJK SC" w:eastAsia="Noto Sans CJK SC" w:cs="Noto Sans CJK SC"/>
        </w:rPr>
        <w:t>Medini版本/许可和自动化授权由A1核实；任务范围/模板由安全专家冻结；数据分级与归档策略由项目负责人协调；DSH接口和离线包由A2验证。未解决项进入风险台账，不能用默认“支持”替代。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10｜安全、授权与上线边界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受控工具链不自动继承资格</w:t>
      </w:r>
    </w:p>
    <w:p>
      <w:r>
        <w:rPr>
          <w:rFonts w:ascii="Noto Sans CJK SC" w:hAnsi="Noto Sans CJK SC" w:eastAsia="Noto Sans CJK SC" w:cs="Noto Sans CJK SC"/>
        </w:rPr>
        <w:t>Medini的原有使用方式、自动化脚本、模型转换器和结果检查器形成了新的工具链。是否可以减少独立检查、需要哪些验证或工具鉴定，应由单位质量与适航团队结合具体用途评估。[S05] 采购工具的证书、既往使用经验或内部获奖，均不能直接替代新链路的使用论证。</w:t>
      </w:r>
    </w:p>
    <w:p>
      <w:r>
        <w:rPr>
          <w:rFonts w:ascii="Noto Sans CJK SC" w:hAnsi="Noto Sans CJK SC" w:eastAsia="Noto Sans CJK SC" w:cs="Noto Sans CJK SC"/>
        </w:rPr>
        <w:t>本线默认是“受监督的工程辅助”。Agent可以提出事件、逻辑、影响范围和工作流；工程师确认失效条件、严酷度、假设、独立性、参数来源和正式结论。对正式基线的写入、批量删除、发布报告和升级适配器实施独立审批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内网安全与供给管理</w:t>
      </w:r>
    </w:p>
    <w:p>
      <w:r>
        <w:rPr>
          <w:rFonts w:ascii="Noto Sans CJK SC" w:hAnsi="Noto Sans CJK SC" w:eastAsia="Noto Sans CJK SC" w:cs="Noto Sans CJK SC"/>
        </w:rPr>
        <w:t>代码仓库仅存公开或授权脱敏样例；真实项目进入内网受控存储。禁止把PDF、原生工程或日志发送到未批准的外部模型。文档中的任何“忽略规则/执行脚本”等文字均按数据处理，不成为工具指令。</w:t>
      </w:r>
    </w:p>
    <w:p>
      <w:r>
        <w:rPr>
          <w:rFonts w:ascii="Noto Sans CJK SC" w:hAnsi="Noto Sans CJK SC" w:eastAsia="Noto Sans CJK SC" w:cs="Noto Sans CJK SC"/>
        </w:rPr>
        <w:t>依赖使用固定版本、校验和与软件成分清单；外网开发机只处理合成数据。离线包测试覆盖无网首启、无在线字体/CDN/遥测、凭据脱敏和受控升级。并发作业不突破许可范围；多工作站安排不等于可以共享或绕过授权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主要风险及触发动作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5E0E3"/>
          <w:left w:val="single" w:sz="3" w:color="D5E0E3"/>
          <w:bottom w:val="single" w:sz="3" w:color="D5E0E3"/>
          <w:right w:val="single" w:sz="3" w:color="D5E0E3"/>
          <w:insideH w:val="single" w:sz="3" w:color="D5E0E3"/>
          <w:insideV w:val="single" w:sz="3" w:color="D5E0E3"/>
        </w:tblBorders>
      </w:tblPr>
      <w:tblGrid>
        <w:gridCol w:w="2324"/>
        <w:gridCol w:w="3402"/>
        <w:gridCol w:w="4025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EDF3F4"/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b/>
                <w:color w:val="173744"/>
                <w:sz w:val="18"/>
              </w:rPr>
              <w:t>风险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EDF3F4"/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b/>
                <w:color w:val="173744"/>
                <w:sz w:val="18"/>
              </w:rPr>
              <w:t>触发信号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EDF3F4"/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b/>
                <w:color w:val="173744"/>
                <w:sz w:val="18"/>
              </w:rPr>
              <w:t>对策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原生API覆盖不足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第两周仍无核心写入/回读证据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缩小流程；保留半自动；向供应方定位问题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语义映射错位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ID丢失、单位改变、事件被复制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停止发布；回到契约与映射测试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GUI脆弱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弹窗/缩放变化即失败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减少UI链长度；前后条件校验和人工接管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专家投入不足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模型假设长期无人确认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维持研究状态，不用技术测试代替工程验收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队伍被双线透支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长期仅靠一人串行救火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line="269" w:lineRule="auto" w:after="20" w:before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冻结新功能；保护B线内核时间；调整范围</w:t>
            </w:r>
          </w:p>
        </w:tc>
      </w:tr>
    </w:tbl>
    <w:p>
      <w:pPr>
        <w:spacing w:after="20" w:before="0" w:line="60" w:lineRule="exact"/>
      </w:pPr>
      <w:r>
        <w:rPr>
          <w:rFonts w:ascii="Noto Sans CJK SC" w:hAnsi="Noto Sans CJK SC" w:eastAsia="Noto Sans CJK SC" w:cs="Noto Sans CJK SC"/>
          <w:sz w:val="6"/>
        </w:rPr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11｜启动会决议与资料索引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启动会需要落实的五件事</w:t>
      </w:r>
    </w:p>
    <w:p>
      <w:r>
        <w:rPr>
          <w:rFonts w:ascii="Noto Sans CJK SC" w:hAnsi="Noto Sans CJK SC" w:eastAsia="Noto Sans CJK SC" w:cs="Noto Sans CJK SC"/>
        </w:rPr>
        <w:t>明确A1/A2与安全技术负责人；锁定一个脱敏业务任务和许可工作站；允许读取对应版本的本地API文档；批准项目副本/日志/证据的存储位置；冻结第一阶段人工授权与结果复核方式。</w:t>
      </w:r>
    </w:p>
    <w:p>
      <w:r>
        <w:rPr>
          <w:rFonts w:ascii="Noto Sans CJK SC" w:hAnsi="Noto Sans CJK SC" w:eastAsia="Noto Sans CJK SC" w:cs="Noto Sans CJK SC"/>
          <w:b/>
        </w:rPr>
        <w:t>开工顺序：</w:t>
      </w:r>
      <w:r>
        <w:rPr>
          <w:rFonts w:ascii="Noto Sans CJK SC" w:hAnsi="Noto Sans CJK SC" w:eastAsia="Noto Sans CJK SC" w:cs="Noto Sans CJK SC"/>
        </w:rPr>
        <w:t xml:space="preserve"> 先读本文件和公共契约，再把本线《开工提示词》交给开发Agent。首次Agent回复应提交环境调查结果与正在执行的首个工作包，不能只生成一份新的计划。</w:t>
      </w:r>
    </w:p>
    <w:p>
      <w:r>
        <w:rPr>
          <w:rFonts w:ascii="Noto Sans CJK SC" w:hAnsi="Noto Sans CJK SC" w:eastAsia="Noto Sans CJK SC" w:cs="Noto Sans CJK SC"/>
          <w:b/>
        </w:rPr>
        <w:t>代码评审清单：</w:t>
      </w:r>
      <w:r>
        <w:rPr>
          <w:rFonts w:ascii="Noto Sans CJK SC" w:hAnsi="Noto Sans CJK SC" w:eastAsia="Noto Sans CJK SC" w:cs="Noto Sans CJK SC"/>
        </w:rPr>
        <w:t xml:space="preserve"> 接口有实证来源；不支持状态可见；无任意执行通道；基线检查与幂等有效；保存重开后有回读；失败不会冒充成功；测试数据与真实数据隔离；工件可以由另一位工程师复现。</w:t>
      </w:r>
    </w:p>
    <w:p>
      <w:r>
        <w:rPr>
          <w:rFonts w:ascii="Noto Sans CJK SC" w:hAnsi="Noto Sans CJK SC" w:eastAsia="Noto Sans CJK SC" w:cs="Noto Sans CJK SC"/>
          <w:b/>
        </w:rPr>
        <w:t>发布签收：</w:t>
      </w:r>
      <w:r>
        <w:rPr>
          <w:rFonts w:ascii="Noto Sans CJK SC" w:hAnsi="Noto Sans CJK SC" w:eastAsia="Noto Sans CJK SC" w:cs="Noto Sans CJK SC"/>
        </w:rPr>
        <w:t xml:space="preserve"> A线负责人签执行能力与限制，安全专家签适用任务与复核规则，质量/配置角色签版本、证据与回退可用性。签收对象是明确版本和明确用途，不是泛化的“Medini自动化全能”。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关键来源</w:t>
      </w:r>
    </w:p>
    <w:p>
      <w:pPr>
        <w:spacing w:after="100"/>
      </w:pPr>
      <w:r>
        <w:rPr>
          <w:rFonts w:ascii="Noto Sans CJK SC" w:hAnsi="Noto Sans CJK SC" w:eastAsia="Noto Sans CJK SC" w:cs="Noto Sans CJK SC"/>
          <w:sz w:val="19"/>
        </w:rPr>
        <w:t>[S02] 官方技术资料中已证实JavaScript scripting API；本次未获得你们版本完整API定义。 [S04] 官方帮助入口可用于索取/下载对应版本文档。</w:t>
      </w:r>
    </w:p>
    <w:p>
      <w:pPr>
        <w:spacing w:after="100"/>
      </w:pPr>
      <w:r>
        <w:rPr>
          <w:rFonts w:ascii="Noto Sans CJK SC" w:hAnsi="Noto Sans CJK SC" w:eastAsia="Noto Sans CJK SC" w:cs="Noto Sans CJK SC"/>
          <w:sz w:val="19"/>
        </w:rPr>
        <w:t>[S03] 航空方案用于校准分析范围。 [S05] FAA工具鉴定框架用于提醒按用途评估，不指定你们工具的TQL或审定结论。</w:t>
      </w:r>
    </w:p>
    <w:p>
      <w:r>
        <w:rPr>
          <w:rFonts w:ascii="Noto Sans CJK SC" w:hAnsi="Noto Sans CJK SC" w:eastAsia="Noto Sans CJK SC" w:cs="Noto Sans CJK SC"/>
        </w:rPr>
        <w:t>所有资料完整索引见同包 04_sources/REFERENCES.md。以下链接供项目组追溯，采纳前仍需核实版本、许可与适用性。</w:t>
      </w:r>
    </w:p>
    <w:p>
      <w:pPr>
        <w:spacing w:after="100"/>
      </w:pPr>
      <w:r>
        <w:rPr>
          <w:rFonts w:ascii="Noto Sans CJK SC" w:hAnsi="Noto Sans CJK SC" w:eastAsia="Noto Sans CJK SC" w:cs="Noto Sans CJK SC"/>
          <w:sz w:val="19"/>
        </w:rPr>
        <w:t xml:space="preserve">[S01] </w:t>
      </w:r>
      <w:hyperlink r:id="rId11">
        <w:r>
          <w:rPr>
            <w:color w:val="167A82"/>
            <w:rFonts w:ascii="Noto Sans CJK SC" w:hAnsi="Noto Sans CJK SC" w:eastAsia="Noto Sans CJK SC"/>
            <w:sz w:val="21"/>
          </w:rPr>
          <w:t>Ansys medini analyze 产品页</w:t>
        </w:r>
      </w:hyperlink>
    </w:p>
    <w:p>
      <w:pPr>
        <w:spacing w:after="100"/>
      </w:pPr>
      <w:r>
        <w:rPr>
          <w:rFonts w:ascii="Noto Sans CJK SC" w:hAnsi="Noto Sans CJK SC" w:eastAsia="Noto Sans CJK SC" w:cs="Noto Sans CJK SC"/>
          <w:sz w:val="19"/>
        </w:rPr>
        <w:t xml:space="preserve">[S02] </w:t>
      </w:r>
      <w:hyperlink r:id="rId12">
        <w:r>
          <w:rPr>
            <w:color w:val="167A82"/>
            <w:rFonts w:ascii="Noto Sans CJK SC" w:hAnsi="Noto Sans CJK SC" w:eastAsia="Noto Sans CJK SC"/>
            <w:sz w:val="21"/>
          </w:rPr>
          <w:t>Ansys medini analyze Datasheet（2023），特别是第3—4页</w:t>
        </w:r>
      </w:hyperlink>
    </w:p>
    <w:p>
      <w:pPr>
        <w:spacing w:after="100"/>
      </w:pPr>
      <w:r>
        <w:rPr>
          <w:rFonts w:ascii="Noto Sans CJK SC" w:hAnsi="Noto Sans CJK SC" w:eastAsia="Noto Sans CJK SC" w:cs="Noto Sans CJK SC"/>
          <w:sz w:val="19"/>
        </w:rPr>
        <w:t xml:space="preserve">[S03] </w:t>
      </w:r>
      <w:hyperlink r:id="rId13">
        <w:r>
          <w:rPr>
            <w:color w:val="167A82"/>
            <w:rFonts w:ascii="Noto Sans CJK SC" w:hAnsi="Noto Sans CJK SC" w:eastAsia="Noto Sans CJK SC"/>
            <w:sz w:val="21"/>
          </w:rPr>
          <w:t>Ansys medini analyze：航空安全分析方案（2023）</w:t>
        </w:r>
      </w:hyperlink>
    </w:p>
    <w:p>
      <w:pPr>
        <w:spacing w:after="100"/>
      </w:pPr>
      <w:r>
        <w:rPr>
          <w:rFonts w:ascii="Noto Sans CJK SC" w:hAnsi="Noto Sans CJK SC" w:eastAsia="Noto Sans CJK SC" w:cs="Noto Sans CJK SC"/>
          <w:sz w:val="19"/>
        </w:rPr>
        <w:t xml:space="preserve">[S04] </w:t>
      </w:r>
      <w:hyperlink r:id="rId14">
        <w:r>
          <w:rPr>
            <w:color w:val="167A82"/>
            <w:rFonts w:ascii="Noto Sans CJK SC" w:hAnsi="Noto Sans CJK SC" w:eastAsia="Noto Sans CJK SC"/>
            <w:sz w:val="21"/>
          </w:rPr>
          <w:t>Ansys Help：medini analyze 文档入口</w:t>
        </w:r>
      </w:hyperlink>
    </w:p>
    <w:p>
      <w:pPr>
        <w:spacing w:after="100"/>
      </w:pPr>
      <w:r>
        <w:rPr>
          <w:rFonts w:ascii="Noto Sans CJK SC" w:hAnsi="Noto Sans CJK SC" w:eastAsia="Noto Sans CJK SC" w:cs="Noto Sans CJK SC"/>
          <w:sz w:val="19"/>
        </w:rPr>
        <w:t xml:space="preserve">[S05] </w:t>
      </w:r>
      <w:hyperlink r:id="rId15">
        <w:r>
          <w:rPr>
            <w:color w:val="167A82"/>
            <w:rFonts w:ascii="Noto Sans CJK SC" w:hAnsi="Noto Sans CJK SC" w:eastAsia="Noto Sans CJK SC"/>
            <w:sz w:val="21"/>
          </w:rPr>
          <w:t>FAA AC 20-115D：Airborne Software Development Assurance</w:t>
        </w:r>
      </w:hyperlink>
    </w:p>
    <w:p>
      <w:pPr>
        <w:spacing w:after="100"/>
      </w:pPr>
      <w:r>
        <w:rPr>
          <w:rFonts w:ascii="Noto Sans CJK SC" w:hAnsi="Noto Sans CJK SC" w:eastAsia="Noto Sans CJK SC" w:cs="Noto Sans CJK SC"/>
          <w:sz w:val="19"/>
        </w:rPr>
        <w:t xml:space="preserve">[S10] </w:t>
      </w:r>
      <w:hyperlink r:id="rId16">
        <w:r>
          <w:rPr>
            <w:color w:val="167A82"/>
            <w:rFonts w:ascii="Noto Sans CJK SC" w:hAnsi="Noto Sans CJK SC" w:eastAsia="Noto Sans CJK SC"/>
            <w:sz w:val="21"/>
          </w:rPr>
          <w:t>OMG ReqIF 1.2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077" w:bottom="1020" w:left="1077" w:header="482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b w:val="0"/>
        <w:color w:val="65747D"/>
        <w:sz w:val="16"/>
      </w:rPr>
      <w:t xml:space="preserve">项目规划建议基线 · 2026-09-21    |    </w:t>
    </w:r>
    <w:r>
      <w:rPr>
        <w:rFonts w:ascii="Noto Sans CJK SC" w:hAnsi="Noto Sans CJK SC" w:eastAsia="Noto Sans CJK SC" w:cs="Noto Sans CJK SC"/>
        <w:b w:val="0"/>
        <w:color w:val="65747D"/>
        <w:sz w:val="16"/>
      </w:rPr>
    </w:r>
    <w:fldSimple w:instr="PAGE"/>
    <w:r>
      <w:rPr>
        <w:rFonts w:ascii="Noto Sans CJK SC" w:hAnsi="Noto Sans CJK SC" w:eastAsia="Noto Sans CJK SC" w:cs="Noto Sans CJK SC"/>
        <w:b w:val="0"/>
        <w:color w:val="65747D"/>
        <w:sz w:val="16"/>
      </w:rPr>
      <w:t xml:space="preserve"> / </w:t>
    </w:r>
    <w:r>
      <w:rPr>
        <w:rFonts w:ascii="Noto Sans CJK SC" w:hAnsi="Noto Sans CJK SC" w:eastAsia="Noto Sans CJK SC" w:cs="Noto Sans CJK SC"/>
        <w:b w:val="0"/>
        <w:color w:val="65747D"/>
        <w:sz w:val="16"/>
      </w:rPr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color="C5DADD"/>
      </w:pBdr>
    </w:pPr>
    <w:r>
      <w:rPr>
        <w:rFonts w:ascii="Noto Sans CJK SC" w:hAnsi="Noto Sans CJK SC" w:eastAsia="Noto Sans CJK SC" w:cs="Noto Sans CJK SC"/>
        <w:b w:val="0"/>
        <w:color w:val="65747D"/>
        <w:sz w:val="17"/>
      </w:rPr>
      <w:t>COMAC · FDE  /  A线 · Medini智能体自动化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20"/>
    </w:pPr>
    <w:rPr>
      <w:rFonts w:ascii="Noto Sans CJK SC" w:hAnsi="Noto Sans CJK SC"/>
      <w:rFonts w:ascii="Noto Sans CJK SC" w:hAnsi="Noto Sans CJK SC" w:eastAsia="Noto Sans CJK SC" w:cs="Noto Sans CJK SC"/>
      <w:color w:val="263C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/>
      <w:rFonts w:ascii="Noto Sans CJK SC" w:hAnsi="Noto Sans CJK SC" w:eastAsia="Noto Sans CJK SC" w:cs="Noto Sans CJK SC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/>
      <w:rFonts w:ascii="Noto Sans CJK SC" w:hAnsi="Noto Sans CJK SC" w:eastAsia="Noto Sans CJK SC" w:cs="Noto Sans CJK SC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/>
      <w:outlineLvl w:val="0"/>
    </w:pPr>
    <w:rPr>
      <w:rFonts w:asciiTheme="majorHAnsi" w:eastAsiaTheme="majorEastAsia" w:hAnsiTheme="majorHAnsi" w:cstheme="majorBidi" w:ascii="Noto Sans CJK SC" w:hAnsi="Noto Sans CJK SC"/>
      <w:b/>
      <w:bCs/>
      <w:color w:val="173744"/>
      <w:sz w:val="38"/>
      <w:szCs w:val="28"/>
      <w:rFonts w:ascii="Noto Sans CJK SC" w:hAnsi="Noto Sans CJK SC" w:eastAsia="Noto Sans CJK SC" w:cs="Noto Sans CJK SC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/>
      <w:outlineLvl w:val="1"/>
    </w:pPr>
    <w:rPr>
      <w:rFonts w:asciiTheme="majorHAnsi" w:eastAsiaTheme="majorEastAsia" w:hAnsiTheme="majorHAnsi" w:cstheme="majorBidi" w:ascii="Noto Sans CJK SC" w:hAnsi="Noto Sans CJK SC"/>
      <w:b/>
      <w:bCs/>
      <w:color w:val="167A82"/>
      <w:sz w:val="25"/>
      <w:szCs w:val="26"/>
      <w:rFonts w:ascii="Noto Sans CJK SC" w:hAnsi="Noto Sans CJK SC" w:eastAsia="Noto Sans CJK SC" w:cs="Noto Sans CJK SC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40"/>
      <w:outlineLvl w:val="2"/>
    </w:pPr>
    <w:rPr>
      <w:rFonts w:asciiTheme="majorHAnsi" w:eastAsiaTheme="majorEastAsia" w:hAnsiTheme="majorHAnsi" w:cstheme="majorBidi" w:ascii="Noto Sans CJK SC" w:hAnsi="Noto Sans CJK SC"/>
      <w:b/>
      <w:bCs/>
      <w:rFonts w:ascii="Noto Sans CJK SC" w:hAnsi="Noto Sans CJK SC" w:eastAsia="Noto Sans CJK SC" w:cs="Noto Sans CJK SC"/>
      <w:color w:val="1737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440"/>
      <w:contextualSpacing/>
    </w:pPr>
    <w:rPr>
      <w:rFonts w:asciiTheme="majorHAnsi" w:eastAsiaTheme="majorEastAsia" w:hAnsiTheme="majorHAnsi" w:cstheme="majorBidi" w:ascii="Noto Sans CJK SC" w:hAnsi="Noto Sans CJK SC"/>
      <w:b/>
      <w:color w:val="173744"/>
      <w:spacing w:val="5"/>
      <w:kern w:val="28"/>
      <w:sz w:val="54"/>
      <w:szCs w:val="52"/>
      <w:rFonts w:ascii="Noto Sans CJK SC" w:hAnsi="Noto Sans CJK SC" w:eastAsia="Noto Sans CJK SC" w:cs="Noto Sans CJK SC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/>
      <w:i/>
      <w:iCs/>
      <w:color w:val="167A82"/>
      <w:spacing w:val="15"/>
      <w:sz w:val="30"/>
      <w:szCs w:val="24"/>
      <w:rFonts w:ascii="Noto Sans CJK SC" w:hAnsi="Noto Sans CJK SC" w:eastAsia="Noto Sans CJK SC" w:cs="Noto Sans CJK SC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nsys.synopsys.com/products/safety-analysis/ansys-medini-analyze" TargetMode="External"/><Relationship Id="rId12" Type="http://schemas.openxmlformats.org/officeDocument/2006/relationships/hyperlink" Target="https://ansys.synopsys.com/content/dam/amp/2023/may/medini-analyze-datasheet-01252023.pdf" TargetMode="External"/><Relationship Id="rId13" Type="http://schemas.openxmlformats.org/officeDocument/2006/relationships/hyperlink" Target="https://ansys.synopsys.com/content/dam/amp/2023/may/ansys-medini-analyze-solutions-functional-safety-aerospace.pdf" TargetMode="External"/><Relationship Id="rId14" Type="http://schemas.openxmlformats.org/officeDocument/2006/relationships/hyperlink" Target="https://ansyshelp.ansys.com/public/account/secured?returnurl=%2FViews%2FSecured%2Fprod_page.html%3Fpn%3Dmedini+analyze" TargetMode="External"/><Relationship Id="rId15" Type="http://schemas.openxmlformats.org/officeDocument/2006/relationships/hyperlink" Target="https://www.faa.gov/documentLibrary/media/Advisory_Circular/AC_20-115D.pdf" TargetMode="External"/><Relationship Id="rId16" Type="http://schemas.openxmlformats.org/officeDocument/2006/relationships/hyperlink" Target="https://www.omg.org/spec/ReqIF/1.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A线 · Medini智能体自动化｜核心规划与实施规格 v1.0</dc:title>
  <dc:subject>双项目规划、技术边界、开发路线与验收</dc:subject>
  <dc:creator>COMAC-FDE-Team</dc:creator>
  <cp:keywords>Medini, FTA, FMEA, AI Agent, 独立验证, 双线规划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