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6"/>
          <w:szCs w:val="36"/>
          <w:rtl w:val="0"/>
        </w:rPr>
        <w:t xml:space="preserve">KOGANTI SASANK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1"/>
          <w:szCs w:val="21"/>
          <w:rtl w:val="0"/>
        </w:rPr>
        <w:t xml:space="preserve">Senior Data Scientist | Generative AI, Agentic Systems &amp; Applied 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India | Remote preferred | +91 6377803564 | k.sasank16@gmail.com | github.com/kogantisasank831-ux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f4e79" w:space="2" w:sz="8" w:val="single"/>
        </w:pBd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="245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Senior Data Scientist with 4 years of experience designing and delivering production-grade Generative AI, agentic RAG and machine-learning solutions for procurement, industrial R&amp;D and energy operations. Proven experience leading solution architecture, secure self-hosted LLM deployments, evaluation and observability, and scalable cloud-native systems. Combines hands-on engineering with project planning, mentoring and stakeholder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f4e79" w:space="2" w:sz="8" w:val="single"/>
        </w:pBd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tbl>
      <w:tblPr>
        <w:tblStyle w:val="Table1"/>
        <w:tblW w:w="10656.0" w:type="dxa"/>
        <w:jc w:val="center"/>
        <w:tblLayout w:type="fixed"/>
        <w:tblLook w:val="0400"/>
      </w:tblPr>
      <w:tblGrid>
        <w:gridCol w:w="5328"/>
        <w:gridCol w:w="5328"/>
        <w:tblGridChange w:id="0">
          <w:tblGrid>
            <w:gridCol w:w="5328"/>
            <w:gridCol w:w="5328"/>
          </w:tblGrid>
        </w:tblGridChange>
      </w:tblGrid>
      <w:tr>
        <w:trPr>
          <w:cantSplit w:val="0"/>
          <w:tblHeader w:val="0"/>
        </w:trPr>
        <w:tc>
          <w:tcPr>
            <w:tcMar>
              <w:top w:w="20.0" w:type="dxa"/>
              <w:bottom w:w="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GenAI &amp; Agents: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LangGraph, multi-agent orchestration, agentic RAG, QLoRA, few-shot prompting, LLM-as-judge, NeMo Guardrails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bottom w:w="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Models &amp; Retrieval: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Gemma, Llama 3.1, Gemini, Ollama, vLLM, BM25, hybrid retrieval, Elasticsearch vector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bottom w:w="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Engineering: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Python, SQL, FastAPI, Flask, Docker, Kubernetes, KEDA, RabbitMQ, Celery,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bottom w:w="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MLOps &amp; Observability: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Jenkins CI/CD, MLflow, 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Kubernetes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, Langfuse, pytest, Bandit, model quality gates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20.0" w:type="dxa"/>
              <w:bottom w:w="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Data &amp; ML: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Pandas, NumPy, scikit-learn, XGBoost, PostgreSQL, MariaDB, Elasticsearch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20.0" w:type="dxa"/>
              <w:bottom w:w="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17"/>
                <w:szCs w:val="17"/>
                <w:rtl w:val="0"/>
              </w:rPr>
              <w:t xml:space="preserve">Leadership: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Solution architecture, project planning, mentoring, GenAI hiring, guild leadership, stakeholder communication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Bdr>
          <w:bottom w:color="1f4e79" w:space="2" w:sz="8" w:val="single"/>
        </w:pBd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tbl>
      <w:tblPr>
        <w:tblStyle w:val="Table2"/>
        <w:tblW w:w="10368.0" w:type="dxa"/>
        <w:jc w:val="center"/>
        <w:tblLayout w:type="fixed"/>
        <w:tblLook w:val="0400"/>
      </w:tblPr>
      <w:tblGrid>
        <w:gridCol w:w="8208"/>
        <w:gridCol w:w="2160"/>
        <w:tblGridChange w:id="0">
          <w:tblGrid>
            <w:gridCol w:w="8208"/>
            <w:gridCol w:w="216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Senior Data Scientist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Jul 2025 - Present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64646"/>
          <w:sz w:val="17"/>
          <w:szCs w:val="17"/>
          <w:rtl w:val="0"/>
        </w:rPr>
        <w:t xml:space="preserve">TCG Digital | Remote,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45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Architected an enterprise procurement intelligence platform with a supervisor and five specialized agents spanning RFQ tracking, bid-stage validation, post-PO fulfilment, compliance and user queries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unified SAP Ariba, and email workflows in a role-based </w:t>
      </w:r>
      <w:r w:rsidDel="00000000" w:rsidR="00000000" w:rsidRPr="00000000">
        <w:rPr>
          <w:rtl w:val="0"/>
        </w:rPr>
        <w:t xml:space="preserve">dashboard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interface.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45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Designed a production agentic RAG architecture with SQL-first routing for deterministic queries, hybrid retrieval for document-grounded questions, small-model intent classification, LLM-based response evaluation and NeMo Guardrails for relevance, safety and information-leakage checks.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45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Scaled asynchronous processing for up to 2,000 concurrent users using RabbitMQ, Celery, Redis, Kubernetes and KEDA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implemented Langfuse tracing and confidence scoring using retrieval similarity and answer-quality evaluation.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45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Led CataLLM, a catalyst-research engine that screened 50K+ patents using BM25 and LLM scoring, curated high-value documents and fine-tuned Gemma with QLoRA to generate evidence-backed hypotheses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achieved 65% relevance and deployed on GCP.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45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 private technical-proposal generation system using self-hosted Llama 3.1 served through vLLM and section-specific few-shot examples, reducing dependence on manual drafting while meeting data-security requirements.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5" w:lineRule="auto"/>
        <w:ind w:left="245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Lead the Agentic Innovation Guild, co-lead DevOps and Optimization guilds, mentored 5-6 colleagues, </w:t>
      </w:r>
      <w:r w:rsidDel="00000000" w:rsidR="00000000" w:rsidRPr="00000000">
        <w:rPr>
          <w:rtl w:val="0"/>
        </w:rPr>
        <w:t xml:space="preserve">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two team members and interviewed 10-12 GenAI engineering candidates.</w:t>
      </w:r>
    </w:p>
    <w:tbl>
      <w:tblPr>
        <w:tblStyle w:val="Table3"/>
        <w:tblW w:w="10368.0" w:type="dxa"/>
        <w:jc w:val="center"/>
        <w:tblLayout w:type="fixed"/>
        <w:tblLook w:val="0400"/>
      </w:tblPr>
      <w:tblGrid>
        <w:gridCol w:w="8208"/>
        <w:gridCol w:w="2160"/>
        <w:tblGridChange w:id="0">
          <w:tblGrid>
            <w:gridCol w:w="8208"/>
            <w:gridCol w:w="216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 Scientist Consultant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Jul 2022 - Jun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4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464646"/>
          <w:sz w:val="17"/>
          <w:szCs w:val="17"/>
          <w:rtl w:val="0"/>
        </w:rPr>
        <w:t xml:space="preserve">TCG Digital | Remote,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45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Created a reusable CI/CD framework for data-science APIs with automated linting, Bandit security scans, unit tests, golden-dataset model checks and Jenkins-based FastAPI/Flask deployment.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45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Delivered XGBoost models for drilling-fluid rheology and thickening-time prediction across 1M+ records and 50+ locations, comparing global, local and grouped-location approaches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completed delivery in under two months.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45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Built a reusable AutoML framework for feature engineering, model selection, validation and reporting, with optional TPOT, PyCaret and AutoGluon integration for an industrial analytics platform.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5" w:lineRule="auto"/>
        <w:ind w:left="245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Developed optimization and ML solutions for refinery and manufacturing operations, building experience in production integration, constrained decision systems and cross-functional delivery.</w:t>
      </w:r>
    </w:p>
    <w:p w:rsidR="00000000" w:rsidDel="00000000" w:rsidP="00000000" w:rsidRDefault="00000000" w:rsidRPr="00000000" w14:paraId="0000001E">
      <w:pPr>
        <w:pBdr>
          <w:bottom w:color="1f4e79" w:space="2" w:sz="8" w:val="single"/>
        </w:pBd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INDEPENDENT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9"/>
          <w:szCs w:val="19"/>
          <w:rtl w:val="0"/>
        </w:rPr>
        <w:t xml:space="preserve">Agentic Recruitment Platform | LangGraph, Python, Gemma 2B, Ollama,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" w:lineRule="auto"/>
        <w:ind w:left="245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Architected and developed the backend for a deployed end-to-end recruitment product serving candidates, HR teams, hiring managers and business-unit leaders, with six agents for JD creation, resume screening, interview-question generation, traceability, audit and workflow automation.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0" w:before="0" w:line="245" w:lineRule="auto"/>
        <w:ind w:left="245" w:right="0" w:hanging="173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Self-hosted a quantized Gemma 2B model through Ollama for private inference and built the agent workflows in LangGraph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currently improving latency, resilience and production readiness. React UI was developed using AI-assisted coding.</w:t>
      </w:r>
    </w:p>
    <w:p w:rsidR="00000000" w:rsidDel="00000000" w:rsidP="00000000" w:rsidRDefault="00000000" w:rsidRPr="00000000" w14:paraId="00000022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color w:val="1f4e79"/>
          <w:sz w:val="17"/>
          <w:szCs w:val="17"/>
          <w:rtl w:val="0"/>
        </w:rPr>
        <w:t xml:space="preserve">Repository: github.com/kogantisasank831-ux/rms-app-optimized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1f4e79" w:space="2" w:sz="8" w:val="single"/>
        </w:pBdr>
        <w:spacing w:after="60" w:before="1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20"/>
          <w:szCs w:val="20"/>
          <w:rtl w:val="0"/>
        </w:rPr>
        <w:t xml:space="preserve">EDUCATION &amp;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M.Sc. Mathematics, BITS Pilani | 2018 - 2022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Recognition: Spot Award and Team Spot Award for real-time optimization delivery</w:t>
      </w:r>
      <w:r w:rsidDel="00000000" w:rsidR="00000000" w:rsidRPr="00000000">
        <w:rPr>
          <w:rtl w:val="0"/>
        </w:rPr>
        <w:t xml:space="preserve">.</w:t>
      </w:r>
    </w:p>
    <w:sectPr>
      <w:footerReference r:id="rId7" w:type="default"/>
      <w:pgSz w:h="15840" w:w="12240" w:orient="portrait"/>
      <w:pgMar w:bottom="605" w:top="605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87878"/>
        <w:sz w:val="15"/>
        <w:szCs w:val="15"/>
        <w:u w:val="none"/>
        <w:shd w:fill="auto" w:val="clear"/>
        <w:vertAlign w:val="baseline"/>
        <w:rtl w:val="0"/>
      </w:rPr>
      <w:t xml:space="preserve">Koganti Sasank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alFQmNB2ATuLUYYP7cBcnLiunw==">CgMxLjA4AHIhMTU3aTB3X1p6WjB6MTFrZm5ZVUFDRmpwSGoxcVNnOV9X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