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jc w:val="center"/>
      </w:pPr>
      <w:r>
        <w:t>KOGANTI SASANK</w:t>
      </w:r>
    </w:p>
    <w:p>
      <w:pPr>
        <w:pStyle w:val="ResumeTag"/>
        <w:jc w:val="center"/>
      </w:pPr>
      <w:r>
        <w:t>Senior Data Scientist | Machine Learning, Optimization &amp; MLOps</w:t>
      </w:r>
    </w:p>
    <w:p>
      <w:pPr>
        <w:pStyle w:val="Meta"/>
        <w:jc w:val="center"/>
        <w:pBdr>
          <w:bottom w:val="single" w:sz="8" w:space="1" w:color="1F4E79"/>
        </w:pBdr>
      </w:pPr>
      <w:r>
        <w:t>India | Remote preferred | +91 6377803564 | k.sasank16@gmail.com | GitHub: kogantisasank831-ux</w:t>
      </w:r>
    </w:p>
    <w:p>
      <w:pPr>
        <w:pStyle w:val="SectionHead"/>
        <w:pBdr>
          <w:bottom w:val="single" w:sz="4" w:space="0" w:color="B7C9D6"/>
        </w:pBdr>
      </w:pPr>
      <w:r>
        <w:t>PROFESSIONAL SUMMARY</w:t>
      </w:r>
    </w:p>
    <w:p>
      <w:r>
        <w:t>Senior Data Scientist with 4 years of experience delivering mathematical optimization, machine-learning and MLOps solutions for petrochemical, manufacturing and industrial operations. Built production systems that improved yield, margin and scheduling outcomes, and led reusable frameworks for optimization, AutoML and automated deployment. Strong background in Python, SQL, ML engineering and technical leadership.</w:t>
      </w:r>
    </w:p>
    <w:p>
      <w:pPr>
        <w:pStyle w:val="SectionHead"/>
        <w:pBdr>
          <w:bottom w:val="single" w:sz="4" w:space="0" w:color="B7C9D6"/>
        </w:pBdr>
      </w:pPr>
      <w:r>
        <w:t>CORE SKILLS</w:t>
      </w:r>
    </w:p>
    <w:tbl>
      <w:tblPr>
        <w:tblW w:type="auto" w:w="0"/>
        <w:jc w:val="center"/>
        <w:tblLayout w:type="fixed"/>
        <w:tblLook w:firstColumn="1" w:firstRow="1" w:lastColumn="0" w:lastRow="0" w:noHBand="0" w:noVBand="1" w:val="04A0"/>
      </w:tblPr>
      <w:tblGrid>
        <w:gridCol w:w="2045"/>
        <w:gridCol w:w="8496"/>
      </w:tblGrid>
      <w:tr>
        <w:tc>
          <w:tcPr>
            <w:tcW w:type="dxa" w:w="5328"/>
            <w:vAlign w:val="top"/>
            <w:tcMar>
              <w:top w:w="0" w:type="dxa"/>
              <w:start w:w="0" w:type="dxa"/>
              <w:bottom w:w="0" w:type="dxa"/>
              <w:end w:w="0" w:type="dxa"/>
            </w:tcMar>
          </w:tcPr>
          <w:p>
            <w:pPr>
              <w:spacing w:after="20"/>
            </w:pPr>
            <w:r>
              <w:rPr>
                <w:b/>
                <w:color w:val="1F4E79"/>
                <w:sz w:val="17"/>
              </w:rPr>
              <w:t>Data Science</w:t>
            </w:r>
          </w:p>
        </w:tc>
        <w:tc>
          <w:tcPr>
            <w:tcW w:type="dxa" w:w="5328"/>
            <w:vAlign w:val="top"/>
            <w:tcMar>
              <w:top w:w="0" w:type="dxa"/>
              <w:start w:w="0" w:type="dxa"/>
              <w:bottom w:w="0" w:type="dxa"/>
              <w:end w:w="0" w:type="dxa"/>
            </w:tcMar>
          </w:tcPr>
          <w:p>
            <w:pPr>
              <w:spacing w:after="20"/>
            </w:pPr>
            <w:r>
              <w:rPr>
                <w:sz w:val="17"/>
              </w:rPr>
              <w:t>Python, SQL, Pandas, NumPy, scikit-learn, XGBoost, time-series modelling, feature engineering, model evaluation</w:t>
            </w:r>
          </w:p>
        </w:tc>
      </w:tr>
      <w:tr>
        <w:tc>
          <w:tcPr>
            <w:tcW w:type="dxa" w:w="5328"/>
            <w:vAlign w:val="top"/>
            <w:tcMar>
              <w:top w:w="0" w:type="dxa"/>
              <w:start w:w="0" w:type="dxa"/>
              <w:bottom w:w="0" w:type="dxa"/>
              <w:end w:w="0" w:type="dxa"/>
            </w:tcMar>
          </w:tcPr>
          <w:p>
            <w:pPr>
              <w:spacing w:after="20"/>
            </w:pPr>
            <w:r>
              <w:rPr>
                <w:b/>
                <w:color w:val="1F4E79"/>
                <w:sz w:val="17"/>
              </w:rPr>
              <w:t>Optimization</w:t>
            </w:r>
          </w:p>
        </w:tc>
        <w:tc>
          <w:tcPr>
            <w:tcW w:type="dxa" w:w="5328"/>
            <w:vAlign w:val="top"/>
            <w:tcMar>
              <w:top w:w="0" w:type="dxa"/>
              <w:start w:w="0" w:type="dxa"/>
              <w:bottom w:w="0" w:type="dxa"/>
              <w:end w:w="0" w:type="dxa"/>
            </w:tcMar>
          </w:tcPr>
          <w:p>
            <w:pPr>
              <w:spacing w:after="20"/>
            </w:pPr>
            <w:r>
              <w:rPr>
                <w:sz w:val="17"/>
              </w:rPr>
              <w:t>MILP, differential evolution (JADE), Gurobi, CPLEX, PuLP, scheduling, sequence optimization, constrained objective design</w:t>
            </w:r>
          </w:p>
        </w:tc>
      </w:tr>
      <w:tr>
        <w:tc>
          <w:tcPr>
            <w:tcW w:type="dxa" w:w="5328"/>
            <w:vAlign w:val="top"/>
            <w:tcMar>
              <w:top w:w="0" w:type="dxa"/>
              <w:start w:w="0" w:type="dxa"/>
              <w:bottom w:w="0" w:type="dxa"/>
              <w:end w:w="0" w:type="dxa"/>
            </w:tcMar>
          </w:tcPr>
          <w:p>
            <w:pPr>
              <w:spacing w:after="20"/>
            </w:pPr>
            <w:r>
              <w:rPr>
                <w:b/>
                <w:color w:val="1F4E79"/>
                <w:sz w:val="17"/>
              </w:rPr>
              <w:t>Engineering &amp; MLOps</w:t>
            </w:r>
          </w:p>
        </w:tc>
        <w:tc>
          <w:tcPr>
            <w:tcW w:type="dxa" w:w="5328"/>
            <w:vAlign w:val="top"/>
            <w:tcMar>
              <w:top w:w="0" w:type="dxa"/>
              <w:start w:w="0" w:type="dxa"/>
              <w:bottom w:w="0" w:type="dxa"/>
              <w:end w:w="0" w:type="dxa"/>
            </w:tcMar>
          </w:tcPr>
          <w:p>
            <w:pPr>
              <w:spacing w:after="20"/>
            </w:pPr>
            <w:r>
              <w:rPr>
                <w:sz w:val="17"/>
              </w:rPr>
              <w:t>FastAPI, Flask, Docker, Kubernetes, Jenkins, MLflow, Airflow, Kubeflow, pytest, Bandit, Git, CI/CD</w:t>
            </w:r>
          </w:p>
        </w:tc>
      </w:tr>
      <w:tr>
        <w:tc>
          <w:tcPr>
            <w:tcW w:type="dxa" w:w="5328"/>
            <w:vAlign w:val="top"/>
            <w:tcMar>
              <w:top w:w="0" w:type="dxa"/>
              <w:start w:w="0" w:type="dxa"/>
              <w:bottom w:w="0" w:type="dxa"/>
              <w:end w:w="0" w:type="dxa"/>
            </w:tcMar>
          </w:tcPr>
          <w:p>
            <w:pPr>
              <w:spacing w:after="20"/>
            </w:pPr>
            <w:r>
              <w:rPr>
                <w:b/>
                <w:color w:val="1F4E79"/>
                <w:sz w:val="17"/>
              </w:rPr>
              <w:t>Data Platforms</w:t>
            </w:r>
          </w:p>
        </w:tc>
        <w:tc>
          <w:tcPr>
            <w:tcW w:type="dxa" w:w="5328"/>
            <w:vAlign w:val="top"/>
            <w:tcMar>
              <w:top w:w="0" w:type="dxa"/>
              <w:start w:w="0" w:type="dxa"/>
              <w:bottom w:w="0" w:type="dxa"/>
              <w:end w:w="0" w:type="dxa"/>
            </w:tcMar>
          </w:tcPr>
          <w:p>
            <w:pPr>
              <w:spacing w:after="20"/>
            </w:pPr>
            <w:r>
              <w:rPr>
                <w:sz w:val="17"/>
              </w:rPr>
              <w:t>PostgreSQL, MariaDB, Elasticsearch, REST APIs, multiprocessing, industrial simulator integration</w:t>
            </w:r>
          </w:p>
        </w:tc>
      </w:tr>
      <w:tr>
        <w:tc>
          <w:tcPr>
            <w:tcW w:type="dxa" w:w="5328"/>
            <w:vAlign w:val="top"/>
            <w:tcMar>
              <w:top w:w="0" w:type="dxa"/>
              <w:start w:w="0" w:type="dxa"/>
              <w:bottom w:w="0" w:type="dxa"/>
              <w:end w:w="0" w:type="dxa"/>
            </w:tcMar>
          </w:tcPr>
          <w:p>
            <w:pPr>
              <w:spacing w:after="20"/>
            </w:pPr>
            <w:r>
              <w:rPr>
                <w:b/>
                <w:color w:val="1F4E79"/>
                <w:sz w:val="17"/>
              </w:rPr>
              <w:t>Leadership</w:t>
            </w:r>
          </w:p>
        </w:tc>
        <w:tc>
          <w:tcPr>
            <w:tcW w:type="dxa" w:w="5328"/>
            <w:vAlign w:val="top"/>
            <w:tcMar>
              <w:top w:w="0" w:type="dxa"/>
              <w:start w:w="0" w:type="dxa"/>
              <w:bottom w:w="0" w:type="dxa"/>
              <w:end w:w="0" w:type="dxa"/>
            </w:tcMar>
          </w:tcPr>
          <w:p>
            <w:pPr>
              <w:spacing w:after="20"/>
            </w:pPr>
            <w:r>
              <w:rPr>
                <w:sz w:val="17"/>
              </w:rPr>
              <w:t>Architecture, productization, project planning, mentoring, stakeholder management, technical interviews</w:t>
            </w:r>
          </w:p>
        </w:tc>
      </w:tr>
    </w:tbl>
    <w:p>
      <w:pPr>
        <w:spacing w:after="0"/>
      </w:pPr>
    </w:p>
    <w:p>
      <w:pPr>
        <w:pStyle w:val="SectionHead"/>
        <w:pBdr>
          <w:bottom w:val="single" w:sz="4" w:space="0" w:color="B7C9D6"/>
        </w:pBdr>
      </w:pPr>
      <w:r>
        <w:t>PROFESSIONAL EXPERIENCE</w:t>
      </w:r>
    </w:p>
    <w:tbl>
      <w:tblPr>
        <w:tblW w:type="auto" w:w="0"/>
        <w:jc w:val="center"/>
        <w:tblLayout w:type="fixed"/>
        <w:tblLook w:firstColumn="1" w:firstRow="1" w:lastColumn="0" w:lastRow="0" w:noHBand="0" w:noVBand="1" w:val="04A0"/>
      </w:tblPr>
      <w:tblGrid>
        <w:gridCol w:w="8208"/>
        <w:gridCol w:w="2448"/>
      </w:tblGrid>
      <w:tr>
        <w:tc>
          <w:tcPr>
            <w:tcW w:type="dxa" w:w="5328"/>
            <w:tcMar>
              <w:top w:w="0" w:type="dxa"/>
              <w:start w:w="0" w:type="dxa"/>
              <w:bottom w:w="0" w:type="dxa"/>
              <w:end w:w="0" w:type="dxa"/>
            </w:tcMar>
          </w:tcPr>
          <w:p>
            <w:pPr>
              <w:pStyle w:val="RoleHead"/>
            </w:pPr>
            <w:r>
              <w:t>Senior Data Scientist (Senior Consultant)</w:t>
            </w:r>
          </w:p>
        </w:tc>
        <w:tc>
          <w:tcPr>
            <w:tcW w:type="dxa" w:w="5328"/>
            <w:tcMar>
              <w:top w:w="0" w:type="dxa"/>
              <w:start w:w="0" w:type="dxa"/>
              <w:bottom w:w="0" w:type="dxa"/>
              <w:end w:w="0" w:type="dxa"/>
            </w:tcMar>
          </w:tcPr>
          <w:p>
            <w:pPr>
              <w:pStyle w:val="RoleHead"/>
              <w:jc w:val="right"/>
            </w:pPr>
            <w:r>
              <w:t>Jul 2025-Present</w:t>
            </w:r>
          </w:p>
        </w:tc>
      </w:tr>
    </w:tbl>
    <w:p>
      <w:pPr>
        <w:pStyle w:val="Meta"/>
      </w:pPr>
      <w:r>
        <w:t>TCG Digital | Remote, India</w:t>
      </w:r>
    </w:p>
    <w:p>
      <w:pPr>
        <w:pStyle w:val="BulletCompact"/>
        <w:ind w:left="230" w:hanging="173"/>
      </w:pPr>
      <w:r>
        <w:t>• Lead productization of a real-time optimization solution for refinery operations; the deployed client implementation delivered a reported 1.5%-1.8% yield improvement and approximately INR 3,000-4,000 per ton-hour margin improvement under plant constraints.</w:t>
      </w:r>
    </w:p>
    <w:p>
      <w:pPr>
        <w:pStyle w:val="BulletCompact"/>
        <w:ind w:left="230" w:hanging="173"/>
      </w:pPr>
      <w:r>
        <w:t>• Designed the roadmap to accelerate optimizer initialization using historical operating data and ML/LLM-assisted vector initialization, with the goal of reducing convergence time across future refinery deployments.</w:t>
      </w:r>
    </w:p>
    <w:p>
      <w:pPr>
        <w:pStyle w:val="BulletCompact"/>
        <w:ind w:left="230" w:hanging="173"/>
      </w:pPr>
      <w:r>
        <w:t>• Led architecture and planning for a multi-agent procurement platform and supported deployment design for 2,000 concurrent users, demonstrating end-to-end ownership across data, application and infrastructure layers.</w:t>
      </w:r>
    </w:p>
    <w:p>
      <w:pPr>
        <w:pStyle w:val="BulletCompact"/>
        <w:ind w:left="230" w:hanging="173"/>
      </w:pPr>
      <w:r>
        <w:t>• Mentor 5-6 team members, directly managed two contributors, co-lead the Optimization and DevOps guilds, and participate in technical hiring.</w:t>
      </w:r>
    </w:p>
    <w:p>
      <w:r>
        <w:br w:type="page"/>
      </w:r>
    </w:p>
    <w:p>
      <w:pPr>
        <w:pStyle w:val="SectionHead"/>
        <w:pBdr>
          <w:bottom w:val="single" w:sz="4" w:space="0" w:color="B7C9D6"/>
        </w:pBdr>
      </w:pPr>
      <w:r>
        <w:t>EARLIER EXPERIENCE</w:t>
      </w:r>
    </w:p>
    <w:tbl>
      <w:tblPr>
        <w:tblW w:type="auto" w:w="0"/>
        <w:jc w:val="center"/>
        <w:tblLayout w:type="fixed"/>
        <w:tblLook w:firstColumn="1" w:firstRow="1" w:lastColumn="0" w:lastRow="0" w:noHBand="0" w:noVBand="1" w:val="04A0"/>
      </w:tblPr>
      <w:tblGrid>
        <w:gridCol w:w="8208"/>
        <w:gridCol w:w="2448"/>
      </w:tblGrid>
      <w:tr>
        <w:tc>
          <w:tcPr>
            <w:tcW w:type="dxa" w:w="5328"/>
            <w:tcMar>
              <w:top w:w="0" w:type="dxa"/>
              <w:start w:w="0" w:type="dxa"/>
              <w:bottom w:w="0" w:type="dxa"/>
              <w:end w:w="0" w:type="dxa"/>
            </w:tcMar>
          </w:tcPr>
          <w:p>
            <w:pPr>
              <w:pStyle w:val="RoleHead"/>
            </w:pPr>
            <w:r>
              <w:t>Data Scientist Consultant</w:t>
            </w:r>
          </w:p>
        </w:tc>
        <w:tc>
          <w:tcPr>
            <w:tcW w:type="dxa" w:w="5328"/>
            <w:tcMar>
              <w:top w:w="0" w:type="dxa"/>
              <w:start w:w="0" w:type="dxa"/>
              <w:bottom w:w="0" w:type="dxa"/>
              <w:end w:w="0" w:type="dxa"/>
            </w:tcMar>
          </w:tcPr>
          <w:p>
            <w:pPr>
              <w:pStyle w:val="RoleHead"/>
              <w:jc w:val="right"/>
            </w:pPr>
            <w:r>
              <w:t>Jul 2022-Jun 2025</w:t>
            </w:r>
          </w:p>
        </w:tc>
      </w:tr>
    </w:tbl>
    <w:p>
      <w:pPr>
        <w:pStyle w:val="Meta"/>
      </w:pPr>
      <w:r>
        <w:t>TCG Digital | Remote, India</w:t>
      </w:r>
    </w:p>
    <w:p>
      <w:pPr>
        <w:pStyle w:val="BulletCompact"/>
        <w:ind w:left="230" w:hanging="173"/>
      </w:pPr>
      <w:r>
        <w:t>• Developed grade-market and production-sequence optimization solutions for polymer manufacturing, generating approximately INR 2 crore in scheduling-related business benefit while respecting contracts, plant constraints and grade-transition rules.</w:t>
      </w:r>
    </w:p>
    <w:p>
      <w:pPr>
        <w:pStyle w:val="BulletCompact"/>
        <w:ind w:left="230" w:hanging="173"/>
      </w:pPr>
      <w:r>
        <w:t>• Built an end-to-end real-time optimizer for a naphtha cracker using JADE differential evolution, optimizing ethylene and propylene yield and margin; reduced optimization runtime by about 90% through multiprocessing.</w:t>
      </w:r>
    </w:p>
    <w:p>
      <w:pPr>
        <w:pStyle w:val="BulletCompact"/>
        <w:ind w:left="230" w:hanging="173"/>
      </w:pPr>
      <w:r>
        <w:t>• Developed ML models for drilling-fluid rheology and thickening-time prediction over 1M+ records across 50+ locations; compared global, local and grouped-location XGBoost approaches using stratified sampling and delivered within two months.</w:t>
      </w:r>
    </w:p>
    <w:p>
      <w:pPr>
        <w:pStyle w:val="BulletCompact"/>
        <w:ind w:left="230" w:hanging="173"/>
      </w:pPr>
      <w:r>
        <w:t>• Implemented MILP and rule-based schedulers for chemical-grade and textile production, including allocation across lines, products and contract constraints.</w:t>
      </w:r>
    </w:p>
    <w:p>
      <w:pPr>
        <w:pStyle w:val="BulletCompact"/>
        <w:ind w:left="230" w:hanging="173"/>
      </w:pPr>
      <w:r>
        <w:t>• Created reusable optimization and AutoML frameworks that standardized objective/constraint definition, feature engineering, model selection, testing and metrics across projects.</w:t>
      </w:r>
    </w:p>
    <w:p>
      <w:pPr>
        <w:pStyle w:val="BulletCompact"/>
        <w:ind w:left="230" w:hanging="173"/>
      </w:pPr>
      <w:r>
        <w:t>• Established an automated MLOps pipeline with linting, security scanning, unit testing, golden-dataset regression checks and FastAPI/Flask deployment through Jenkins, failing releases automatically when quality thresholds were not met.</w:t>
      </w:r>
    </w:p>
    <w:p>
      <w:pPr>
        <w:pStyle w:val="SectionHead"/>
        <w:pBdr>
          <w:bottom w:val="single" w:sz="4" w:space="0" w:color="B7C9D6"/>
        </w:pBdr>
      </w:pPr>
      <w:r>
        <w:t>ADDITIONAL APPLIED AI EXPERIENCE</w:t>
      </w:r>
    </w:p>
    <w:p>
      <w:pPr>
        <w:pStyle w:val="RoleHead"/>
      </w:pPr>
      <w:r>
        <w:t>Industrial Generative AI &amp; Agentic Systems</w:t>
      </w:r>
      <w:r>
        <w:rPr>
          <w:b w:val="0"/>
          <w:color w:val="666666"/>
        </w:rPr>
        <w:t xml:space="preserve"> | LangGraph, RAG, QLoRA, vLLM, Kubernetes</w:t>
      </w:r>
    </w:p>
    <w:p>
      <w:pPr>
        <w:pStyle w:val="BulletCompact"/>
        <w:ind w:left="230" w:hanging="173"/>
      </w:pPr>
      <w:r>
        <w:t>• Led a 50K+ patent research engine with BM25/LLM filtering and QLoRA fine-tuning, and architected a role-aware procurement agent platform with hybrid retrieval, guardrails and observability.</w:t>
      </w:r>
    </w:p>
    <w:p>
      <w:pPr>
        <w:pStyle w:val="BulletCompact"/>
        <w:ind w:left="230" w:hanging="173"/>
      </w:pPr>
      <w:r>
        <w:t>• Built a private technical-proposal generator using self-hosted Llama 3.1 and section-specific few-shot learning, strengthening experience at the intersection of classical data science and modern AI systems.</w:t>
      </w:r>
    </w:p>
    <w:p>
      <w:pPr>
        <w:pStyle w:val="SectionHead"/>
        <w:pBdr>
          <w:bottom w:val="single" w:sz="4" w:space="0" w:color="B7C9D6"/>
        </w:pBdr>
      </w:pPr>
      <w:r>
        <w:t>EDUCATION &amp; RECOGNITION</w:t>
      </w:r>
    </w:p>
    <w:p>
      <w:r>
        <w:rPr>
          <w:b/>
        </w:rPr>
        <w:t>M.Sc. Mathematics, BITS Pilani</w:t>
      </w:r>
      <w:r>
        <w:t xml:space="preserve"> | 2018-2022</w:t>
      </w:r>
    </w:p>
    <w:p>
      <w:r>
        <w:rPr>
          <w:b/>
        </w:rPr>
        <w:t xml:space="preserve">Recognition: </w:t>
      </w:r>
      <w:r>
        <w:t>Spot Award and Team Spot Award for real-time optimization delivery; promoted to Senior Consultant in July 2025.</w:t>
      </w:r>
    </w:p>
    <w:sectPr w:rsidR="00FC693F" w:rsidRPr="0006063C" w:rsidSect="00034616">
      <w:pgSz w:w="12240" w:h="15840"/>
      <w:pgMar w:top="648" w:right="792" w:bottom="648" w:left="79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Name"/>
    <w:pPr>
      <w:spacing w:after="0" w:before="0" w:line="240" w:lineRule="auto"/>
    </w:pPr>
    <w:rPr>
      <w:rFonts w:ascii="Aptos" w:hAnsi="Aptos"/>
      <w:b/>
      <w:color w:val="1F4E79"/>
      <w:sz w:val="36"/>
    </w:rPr>
  </w:style>
  <w:style w:type="paragraph" w:customStyle="1" w:styleId="ResumeTag">
    <w:name w:val="ResumeTag"/>
    <w:pPr>
      <w:spacing w:after="40" w:before="0" w:line="240" w:lineRule="auto"/>
    </w:pPr>
    <w:rPr>
      <w:rFonts w:ascii="Aptos" w:hAnsi="Aptos"/>
      <w:b/>
      <w:color w:val="1F1F1F"/>
      <w:sz w:val="21"/>
    </w:rPr>
  </w:style>
  <w:style w:type="paragraph" w:customStyle="1" w:styleId="SectionHead">
    <w:name w:val="SectionHead"/>
    <w:pPr>
      <w:spacing w:after="60" w:before="100" w:line="240" w:lineRule="auto"/>
    </w:pPr>
    <w:rPr>
      <w:rFonts w:ascii="Aptos" w:hAnsi="Aptos"/>
      <w:b/>
      <w:color w:val="1F4E79"/>
      <w:sz w:val="21"/>
    </w:rPr>
  </w:style>
  <w:style w:type="paragraph" w:customStyle="1" w:styleId="RoleHead">
    <w:name w:val="RoleHead"/>
    <w:pPr>
      <w:spacing w:after="0" w:before="60" w:line="240" w:lineRule="auto"/>
    </w:pPr>
    <w:rPr>
      <w:rFonts w:ascii="Aptos" w:hAnsi="Aptos"/>
      <w:b/>
      <w:color w:val="1F1F1F"/>
      <w:sz w:val="19"/>
    </w:rPr>
  </w:style>
  <w:style w:type="paragraph" w:customStyle="1" w:styleId="Meta">
    <w:name w:val="Meta"/>
    <w:pPr>
      <w:spacing w:after="40" w:before="0" w:line="240" w:lineRule="auto"/>
    </w:pPr>
    <w:rPr>
      <w:rFonts w:ascii="Aptos" w:hAnsi="Aptos"/>
      <w:b w:val="0"/>
      <w:color w:val="666666"/>
      <w:sz w:val="17"/>
    </w:rPr>
  </w:style>
  <w:style w:type="paragraph" w:customStyle="1" w:styleId="BulletCompact">
    <w:name w:val="BulletCompact"/>
    <w:pPr>
      <w:spacing w:after="20" w:before="0" w:line="240" w:lineRule="auto"/>
    </w:pPr>
    <w:rPr>
      <w:rFonts w:ascii="Aptos" w:hAnsi="Aptos"/>
      <w:b w:val="0"/>
      <w:color w:val="1F1F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