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Titel"/>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 xml:space="preserve">Konrad Dittrich and Simon </w:t>
      </w:r>
      <w:proofErr w:type="spellStart"/>
      <w:r w:rsidRPr="007A2216">
        <w:rPr>
          <w:lang w:val="en-US"/>
        </w:rPr>
        <w:t>Spång</w:t>
      </w:r>
      <w:proofErr w:type="spellEnd"/>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10452F5D" w:rsidR="00FA49CF" w:rsidRDefault="00FA49CF" w:rsidP="00FA49CF">
      <w:pPr>
        <w:pStyle w:val="Beschriftung"/>
        <w:jc w:val="center"/>
      </w:pPr>
      <w:r>
        <w:t xml:space="preserve">Figure </w:t>
      </w:r>
      <w:r w:rsidR="00000000">
        <w:fldChar w:fldCharType="begin"/>
      </w:r>
      <w:r w:rsidR="00000000">
        <w:instrText xml:space="preserve"> SEQ Figure \* ARABIC </w:instrText>
      </w:r>
      <w:r w:rsidR="00000000">
        <w:fldChar w:fldCharType="separate"/>
      </w:r>
      <w:r w:rsidR="009C4425">
        <w:rPr>
          <w:noProof/>
        </w:rPr>
        <w:t>1</w:t>
      </w:r>
      <w:r w:rsidR="00000000">
        <w:rPr>
          <w:noProof/>
        </w:rPr>
        <w:fldChar w:fldCharType="end"/>
      </w:r>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4F31C4FD">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78078B7A" w:rsidR="00FA49CF" w:rsidRDefault="00FA49CF" w:rsidP="00FA49CF">
      <w:pPr>
        <w:pStyle w:val="Beschriftung"/>
        <w:jc w:val="center"/>
      </w:pPr>
      <w:r>
        <w:t xml:space="preserve">Figure </w:t>
      </w:r>
      <w:fldSimple w:instr=" SEQ Figure \* ARABIC ">
        <w:r w:rsidR="009C4425">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6BDE6E13">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44CE173B" w:rsidR="00F606F8" w:rsidRPr="007A2216" w:rsidRDefault="00FA49CF" w:rsidP="00FA49CF">
      <w:pPr>
        <w:pStyle w:val="Beschriftu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9C4425">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10145AFC" w:rsidR="00577FAF" w:rsidRPr="00577FAF" w:rsidRDefault="00C77315" w:rsidP="00577FAF">
      <w:pPr>
        <w:pStyle w:val="Beschriftu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9C4425">
        <w:rPr>
          <w:noProof/>
          <w:lang w:val="en-US"/>
        </w:rPr>
        <w:t>4</w:t>
      </w:r>
      <w:r>
        <w:fldChar w:fldCharType="end"/>
      </w:r>
      <w:r w:rsidRPr="00C77315">
        <w:rPr>
          <w:lang w:val="en-US"/>
        </w:rPr>
        <w:t xml:space="preserve"> - Varying of </w:t>
      </w:r>
      <w:r>
        <w:rPr>
          <w:lang w:val="en-US"/>
        </w:rPr>
        <w:t xml:space="preserve">control </w:t>
      </w:r>
      <w:proofErr w:type="gramStart"/>
      <w:r w:rsidRPr="00C77315">
        <w:rPr>
          <w:lang w:val="en-US"/>
        </w:rPr>
        <w:t>constraints</w:t>
      </w:r>
      <w:proofErr w:type="gramEnd"/>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enabsatz"/>
        <w:numPr>
          <w:ilvl w:val="0"/>
          <w:numId w:val="1"/>
        </w:numPr>
        <w:rPr>
          <w:lang w:val="en-US"/>
        </w:rPr>
      </w:pPr>
      <w:r w:rsidRPr="00E30DC1">
        <w:rPr>
          <w:lang w:val="en-US"/>
        </w:rPr>
        <w:t xml:space="preserve">The state constraints are set by appending upper and lower bound as inequality constraints separately for every timestep t. Regarding the upper bound, </w:t>
      </w:r>
      <w:proofErr w:type="spellStart"/>
      <w:r w:rsidRPr="00E30DC1">
        <w:rPr>
          <w:lang w:val="en-US"/>
        </w:rPr>
        <w:t>xub</w:t>
      </w:r>
      <w:proofErr w:type="spellEnd"/>
      <w:r w:rsidRPr="00E30DC1">
        <w:rPr>
          <w:lang w:val="en-US"/>
        </w:rPr>
        <w:t>, it is set as:</w:t>
      </w:r>
    </w:p>
    <w:p w14:paraId="54D296D6" w14:textId="77777777" w:rsidR="00E30DC1" w:rsidRPr="00E30DC1" w:rsidRDefault="00E30DC1" w:rsidP="00E30DC1">
      <w:pPr>
        <w:pStyle w:val="Listenabsatz"/>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enabsatz"/>
        <w:rPr>
          <w:rFonts w:eastAsiaTheme="minorEastAsia"/>
          <w:lang w:val="en-US"/>
        </w:rPr>
      </w:pPr>
      <w:r w:rsidRPr="00E30DC1">
        <w:rPr>
          <w:rFonts w:eastAsiaTheme="minorEastAsia"/>
          <w:lang w:val="en-US"/>
        </w:rPr>
        <w:t>And the lower bound is set as:</w:t>
      </w:r>
    </w:p>
    <w:p w14:paraId="22F05958" w14:textId="77777777" w:rsidR="00E30DC1" w:rsidRPr="00E30DC1" w:rsidRDefault="00000000" w:rsidP="00E30DC1">
      <w:pPr>
        <w:pStyle w:val="Listenabsatz"/>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enabsatz"/>
        <w:rPr>
          <w:lang w:val="en-US"/>
        </w:rPr>
      </w:pPr>
    </w:p>
    <w:p w14:paraId="2830D1F9" w14:textId="77777777" w:rsidR="002D0800" w:rsidRDefault="002D0800" w:rsidP="002D0800">
      <w:pPr>
        <w:keepNext/>
        <w:jc w:val="center"/>
      </w:pPr>
      <w:r>
        <w:rPr>
          <w:noProof/>
          <w:lang w:val="en-US"/>
        </w:rPr>
        <w:drawing>
          <wp:inline distT="0" distB="0" distL="0" distR="0" wp14:anchorId="0DB36EB0" wp14:editId="43E60F1C">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6EECB082" w:rsidR="00F606F8" w:rsidRPr="002D0800" w:rsidRDefault="002D0800" w:rsidP="002D080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enabsatz"/>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w:t>
      </w:r>
      <w:proofErr w:type="spellStart"/>
      <w:r w:rsidRPr="00E30DC1">
        <w:rPr>
          <w:lang w:val="en-US"/>
        </w:rPr>
        <w:t>x_t</w:t>
      </w:r>
      <w:proofErr w:type="spellEnd"/>
      <w:r w:rsidRPr="00E30DC1">
        <w:rPr>
          <w:lang w:val="en-US"/>
        </w:rPr>
        <w:t xml:space="preserve"> and x0_ref, the weighting matrices Q and R as well as the control signal </w:t>
      </w:r>
      <w:proofErr w:type="spellStart"/>
      <w:r w:rsidRPr="00E30DC1">
        <w:rPr>
          <w:lang w:val="en-US"/>
        </w:rPr>
        <w:t>u_t</w:t>
      </w:r>
      <w:proofErr w:type="spellEnd"/>
      <w:r w:rsidRPr="00E30DC1">
        <w:rPr>
          <w:lang w:val="en-US"/>
        </w:rPr>
        <w:t xml:space="preserve">. Regarding the terminal cost the difference between the last state and the reference state is penalized by matrix P. </w:t>
      </w:r>
    </w:p>
    <w:p w14:paraId="0DD9AFA3" w14:textId="5BAF11DC" w:rsidR="002D0800" w:rsidRPr="002D0800" w:rsidRDefault="002D0800" w:rsidP="00E30DC1">
      <w:pPr>
        <w:pStyle w:val="Listenabsatz"/>
        <w:rPr>
          <w:lang w:val="en-US"/>
        </w:rPr>
      </w:pPr>
    </w:p>
    <w:p w14:paraId="395AA276" w14:textId="77777777" w:rsidR="002D0800" w:rsidRDefault="002D0800" w:rsidP="00E062A0">
      <w:pPr>
        <w:pStyle w:val="Listenabsatz"/>
        <w:keepNext/>
        <w:jc w:val="center"/>
      </w:pPr>
      <w:r>
        <w:rPr>
          <w:noProof/>
          <w:lang w:val="en-US"/>
        </w:rPr>
        <w:drawing>
          <wp:inline distT="0" distB="0" distL="0" distR="0" wp14:anchorId="6E871449" wp14:editId="39566ED1">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1847D575" w:rsidR="002D0800" w:rsidRPr="002D0800" w:rsidRDefault="002D0800" w:rsidP="00E062A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6</w:t>
      </w:r>
      <w:r>
        <w:fldChar w:fldCharType="end"/>
      </w:r>
      <w:r w:rsidRPr="002D0800">
        <w:rPr>
          <w:lang w:val="en-US"/>
        </w:rPr>
        <w:t xml:space="preserve"> - Object function</w:t>
      </w:r>
    </w:p>
    <w:p w14:paraId="0C015185" w14:textId="76DE8456" w:rsidR="007C25A4" w:rsidRDefault="007C25A4" w:rsidP="007C25A4">
      <w:pPr>
        <w:pStyle w:val="Listenabsatz"/>
        <w:numPr>
          <w:ilvl w:val="0"/>
          <w:numId w:val="1"/>
        </w:numPr>
        <w:rPr>
          <w:lang w:val="en-US"/>
        </w:rPr>
      </w:pPr>
      <w:r>
        <w:rPr>
          <w:lang w:val="en-US"/>
        </w:rPr>
        <w:lastRenderedPageBreak/>
        <w:t xml:space="preserve">The terminal constraints are included by adding inequality constraints for the final state </w:t>
      </w:r>
      <w:proofErr w:type="spellStart"/>
      <w:r>
        <w:rPr>
          <w:lang w:val="en-US"/>
        </w:rPr>
        <w:t>x_N</w:t>
      </w:r>
      <w:proofErr w:type="spellEnd"/>
      <w:r>
        <w:rPr>
          <w:lang w:val="en-US"/>
        </w:rPr>
        <w:t>.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enabsatz"/>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1252ACA3" w:rsidR="002D0800" w:rsidRDefault="007C25A4" w:rsidP="007C25A4">
      <w:pPr>
        <w:pStyle w:val="Beschriftung"/>
        <w:jc w:val="center"/>
      </w:pPr>
      <w:r>
        <w:t xml:space="preserve">Figure </w:t>
      </w:r>
      <w:r w:rsidR="00000000">
        <w:fldChar w:fldCharType="begin"/>
      </w:r>
      <w:r w:rsidR="00000000">
        <w:instrText xml:space="preserve"> SEQ Figure \* ARABIC </w:instrText>
      </w:r>
      <w:r w:rsidR="00000000">
        <w:fldChar w:fldCharType="separate"/>
      </w:r>
      <w:r w:rsidR="009C4425">
        <w:rPr>
          <w:noProof/>
        </w:rPr>
        <w:t>7</w:t>
      </w:r>
      <w:r w:rsidR="00000000">
        <w:rPr>
          <w:noProof/>
        </w:rPr>
        <w:fldChar w:fldCharType="end"/>
      </w:r>
      <w:r>
        <w:t xml:space="preserve"> - Terminal constraints</w:t>
      </w:r>
    </w:p>
    <w:p w14:paraId="2B04F3AF" w14:textId="4D290FC9" w:rsidR="00E30DC1" w:rsidRPr="00E30DC1" w:rsidRDefault="00E30DC1" w:rsidP="00E30DC1">
      <w:pPr>
        <w:pStyle w:val="Listenabsatz"/>
        <w:keepNext/>
        <w:numPr>
          <w:ilvl w:val="0"/>
          <w:numId w:val="1"/>
        </w:numPr>
        <w:rPr>
          <w:lang w:val="en-US"/>
        </w:rPr>
      </w:pPr>
      <w:r w:rsidRPr="00E30DC1">
        <w:rPr>
          <w:lang w:val="en-US"/>
        </w:rPr>
        <w:t xml:space="preserve">The variable </w:t>
      </w:r>
      <w:proofErr w:type="spellStart"/>
      <w:r w:rsidRPr="00E30DC1">
        <w:rPr>
          <w:lang w:val="en-US"/>
        </w:rPr>
        <w:t>param_s</w:t>
      </w:r>
      <w:proofErr w:type="spellEnd"/>
      <w:r w:rsidRPr="00E30DC1">
        <w:rPr>
          <w:lang w:val="en-US"/>
        </w:rPr>
        <w:t xml:space="preserve"> </w:t>
      </w:r>
      <w:r>
        <w:rPr>
          <w:lang w:val="en-US"/>
        </w:rPr>
        <w:t xml:space="preserve">concatenates vertically the vectors, x0, x0_ref and u0 in form of a single input vector for the </w:t>
      </w:r>
      <w:proofErr w:type="spellStart"/>
      <w:r>
        <w:rPr>
          <w:lang w:val="en-US"/>
        </w:rPr>
        <w:t>casadi</w:t>
      </w:r>
      <w:proofErr w:type="spellEnd"/>
      <w:r>
        <w:rPr>
          <w:lang w:val="en-US"/>
        </w:rPr>
        <w:t xml:space="preserve"> solver. The three input vectors are the start values. The </w:t>
      </w:r>
      <w:proofErr w:type="spellStart"/>
      <w:r>
        <w:rPr>
          <w:lang w:val="en-US"/>
        </w:rPr>
        <w:t>param_s</w:t>
      </w:r>
      <w:proofErr w:type="spellEnd"/>
      <w:r>
        <w:rPr>
          <w:lang w:val="en-US"/>
        </w:rPr>
        <w:t xml:space="preserve"> is handed over to the solver as a part of a dictionary to formulate the nonlinear program (</w:t>
      </w:r>
      <w:proofErr w:type="spellStart"/>
      <w:r>
        <w:rPr>
          <w:lang w:val="en-US"/>
        </w:rPr>
        <w:t>nlp</w:t>
      </w:r>
      <w:proofErr w:type="spellEnd"/>
      <w:r>
        <w:rPr>
          <w:lang w:val="en-US"/>
        </w:rPr>
        <w:t xml:space="preserve">). See figure 9. </w:t>
      </w:r>
    </w:p>
    <w:p w14:paraId="693A7655" w14:textId="1B1C62BF" w:rsidR="00E30DC1" w:rsidRDefault="00E30DC1" w:rsidP="00E30DC1">
      <w:pPr>
        <w:pStyle w:val="Listenabsatz"/>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6A9BE4D8"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8</w:t>
      </w:r>
      <w:r>
        <w:fldChar w:fldCharType="end"/>
      </w:r>
      <w:r w:rsidRPr="00E30DC1">
        <w:rPr>
          <w:lang w:val="en-US"/>
        </w:rPr>
        <w:t xml:space="preserve"> - Declaration of </w:t>
      </w:r>
      <w:proofErr w:type="spellStart"/>
      <w:r w:rsidRPr="00E30DC1">
        <w:rPr>
          <w:lang w:val="en-US"/>
        </w:rPr>
        <w:t>param_s</w:t>
      </w:r>
      <w:proofErr w:type="spellEnd"/>
    </w:p>
    <w:p w14:paraId="3DAE951B" w14:textId="77777777" w:rsidR="00E30DC1" w:rsidRPr="00E30DC1" w:rsidRDefault="00E30DC1" w:rsidP="00E30DC1">
      <w:pPr>
        <w:pStyle w:val="Listenabsatz"/>
        <w:rPr>
          <w:lang w:val="en-US"/>
        </w:rPr>
      </w:pPr>
    </w:p>
    <w:p w14:paraId="713AEA60" w14:textId="77777777" w:rsidR="00E30DC1" w:rsidRPr="00E30DC1" w:rsidRDefault="00E30DC1" w:rsidP="00E30DC1">
      <w:pPr>
        <w:pStyle w:val="Listenabsatz"/>
        <w:rPr>
          <w:lang w:val="en-US"/>
        </w:rPr>
      </w:pPr>
    </w:p>
    <w:p w14:paraId="6F79BA62" w14:textId="77777777" w:rsidR="00E30DC1" w:rsidRDefault="00E30DC1" w:rsidP="00E30DC1">
      <w:pPr>
        <w:pStyle w:val="Listenabsatz"/>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20E31154"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enabsatz"/>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enabsatz"/>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2A892A66" w:rsidR="00D55317" w:rsidRPr="00D55317" w:rsidRDefault="00D55317" w:rsidP="00D55317">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9C4425" w:rsidRPr="009C4425">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enraster"/>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00000"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 xml:space="preserve">From the table </w:t>
      </w:r>
      <w:proofErr w:type="gramStart"/>
      <w:r>
        <w:rPr>
          <w:rFonts w:eastAsiaTheme="minorEastAsia"/>
          <w:lang w:val="en-US"/>
        </w:rPr>
        <w:t>it can be seen that an</w:t>
      </w:r>
      <w:proofErr w:type="gramEnd"/>
      <w:r>
        <w:rPr>
          <w:rFonts w:eastAsiaTheme="minorEastAsia"/>
          <w:lang w:val="en-US"/>
        </w:rPr>
        <w:t xml:space="preserve">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44D1A291">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64E4F37B" w:rsidR="00CF47FD" w:rsidRDefault="00CF47FD" w:rsidP="00CF47FD">
      <w:pPr>
        <w:pStyle w:val="Beschriftu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9C4425">
        <w:rPr>
          <w:noProof/>
          <w:lang w:val="en-US"/>
        </w:rPr>
        <w:t>11</w:t>
      </w:r>
      <w:r>
        <w:fldChar w:fldCharType="end"/>
      </w:r>
      <w:r w:rsidRPr="00486581">
        <w:rPr>
          <w:lang w:val="en-US"/>
        </w:rPr>
        <w:t xml:space="preserve"> - Simulation with </w:t>
      </w:r>
      <w:proofErr w:type="spellStart"/>
      <w:r w:rsidRPr="00486581">
        <w:rPr>
          <w:lang w:val="en-US"/>
        </w:rPr>
        <w:t>u_lim</w:t>
      </w:r>
      <w:proofErr w:type="spellEnd"/>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7670148F">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7F4B4CB7" w:rsidR="00CF47FD" w:rsidRDefault="00CF47FD" w:rsidP="00CF47FD">
      <w:pPr>
        <w:pStyle w:val="Beschriftu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9C4425">
        <w:rPr>
          <w:noProof/>
          <w:lang w:val="en-US"/>
        </w:rPr>
        <w:t>12</w:t>
      </w:r>
      <w:r>
        <w:fldChar w:fldCharType="end"/>
      </w:r>
      <w:r w:rsidRPr="00CF47FD">
        <w:rPr>
          <w:lang w:val="en-US"/>
        </w:rPr>
        <w:t xml:space="preserve"> - Simulation with 3*</w:t>
      </w:r>
      <w:proofErr w:type="spellStart"/>
      <w:r w:rsidRPr="00CF47FD">
        <w:rPr>
          <w:lang w:val="en-US"/>
        </w:rPr>
        <w:t>u_lim</w:t>
      </w:r>
      <w:proofErr w:type="spellEnd"/>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1AC00C09"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r w:rsidR="002314BE">
        <w:rPr>
          <w:rFonts w:eastAsiaTheme="minorEastAsia"/>
          <w:lang w:val="en-US"/>
        </w:rPr>
        <w:t>MPC</w:t>
      </w:r>
      <w:r w:rsidR="009C4425" w:rsidRPr="009C4425">
        <w:rPr>
          <w:rFonts w:eastAsiaTheme="minorEastAsia"/>
          <w:lang w:val="en-US"/>
        </w:rPr>
        <w:t xml:space="preserve"> problem.</w:t>
      </w:r>
    </w:p>
    <w:p w14:paraId="183C1DE6" w14:textId="77777777" w:rsidR="00A205B6" w:rsidRDefault="00881012" w:rsidP="000B2D01">
      <w:pPr>
        <w:pStyle w:val="Listenabsatz"/>
        <w:keepNext/>
        <w:ind w:left="770"/>
        <w:jc w:val="center"/>
      </w:pPr>
      <w:r>
        <w:rPr>
          <w:noProof/>
          <w:lang w:val="en-US"/>
        </w:rPr>
        <w:drawing>
          <wp:inline distT="0" distB="0" distL="0" distR="0" wp14:anchorId="4997BF17" wp14:editId="53CFBC1E">
            <wp:extent cx="5480294" cy="2340000"/>
            <wp:effectExtent l="0" t="0" r="0" b="3175"/>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2978" b="-133"/>
                    <a:stretch/>
                  </pic:blipFill>
                  <pic:spPr bwMode="auto">
                    <a:xfrm>
                      <a:off x="0" y="0"/>
                      <a:ext cx="5480294" cy="234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7E53EA29" w:rsidR="00A205B6" w:rsidRDefault="00A205B6" w:rsidP="00A205B6">
      <w:pPr>
        <w:pStyle w:val="Beschriftu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9C4425">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27D1764">
            <wp:extent cx="4831242" cy="2340000"/>
            <wp:effectExtent l="0" t="0" r="7620" b="3175"/>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242" cy="2340000"/>
                    </a:xfrm>
                    <a:prstGeom prst="rect">
                      <a:avLst/>
                    </a:prstGeom>
                  </pic:spPr>
                </pic:pic>
              </a:graphicData>
            </a:graphic>
          </wp:inline>
        </w:drawing>
      </w:r>
    </w:p>
    <w:p w14:paraId="7ED77DA9" w14:textId="0DC21004" w:rsidR="000B2D01" w:rsidRPr="000B2D01" w:rsidRDefault="009C4425" w:rsidP="009C4425">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Pr="009C4425">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 xml:space="preserve">N=50 </m:t>
        </m:r>
      </m:oMath>
      <w:r w:rsidR="0065715A">
        <w:rPr>
          <w:rFonts w:eastAsiaTheme="minorEastAsia"/>
          <w:lang w:val="en-US"/>
        </w:rPr>
        <w:t xml:space="preserve">which is 44 seconds. </w:t>
      </w:r>
    </w:p>
    <w:p w14:paraId="3FD2A990" w14:textId="0EFE2B13" w:rsid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N=10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2B7F834E" w14:textId="77777777" w:rsidR="00EE20F9" w:rsidRDefault="00EE20F9" w:rsidP="00F606F8">
      <w:pPr>
        <w:rPr>
          <w:rFonts w:eastAsiaTheme="minorEastAsia"/>
          <w:lang w:val="en-US"/>
        </w:rPr>
      </w:pPr>
    </w:p>
    <w:p w14:paraId="1E09BBA3" w14:textId="77777777" w:rsidR="00EE20F9" w:rsidRPr="0065715A" w:rsidRDefault="00EE20F9" w:rsidP="00F606F8">
      <w:pPr>
        <w:rPr>
          <w:rFonts w:eastAsiaTheme="minorEastAsia"/>
          <w:lang w:val="en-US"/>
        </w:rPr>
      </w:pPr>
    </w:p>
    <w:p w14:paraId="719A942D" w14:textId="77777777" w:rsidR="00104EE1" w:rsidRDefault="00F606F8" w:rsidP="00F606F8">
      <w:pPr>
        <w:rPr>
          <w:lang w:val="en-US"/>
        </w:rPr>
      </w:pPr>
      <w:r w:rsidRPr="007A2216">
        <w:rPr>
          <w:b/>
          <w:bCs/>
          <w:lang w:val="en-US"/>
        </w:rPr>
        <w:lastRenderedPageBreak/>
        <w:t>Q7:</w:t>
      </w:r>
      <w:r w:rsidRPr="007A2216">
        <w:rPr>
          <w:lang w:val="en-US"/>
        </w:rPr>
        <w:t xml:space="preserve"> </w:t>
      </w:r>
    </w:p>
    <w:p w14:paraId="262A9020" w14:textId="202D3840" w:rsidR="00F606F8" w:rsidRDefault="00577FAF" w:rsidP="00104EE1">
      <w:pPr>
        <w:pStyle w:val="Listenabsatz"/>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w:t>
      </w:r>
      <w:r w:rsidR="00CF5FD2">
        <w:rPr>
          <w:lang w:val="en-US"/>
        </w:rPr>
        <w:t xml:space="preserve">The integral error of the position is 5.82 and for the attitude 0.91, which is an increase in both cases. </w:t>
      </w:r>
      <w:r w:rsidRPr="00104EE1">
        <w:rPr>
          <w:lang w:val="en-US"/>
        </w:rPr>
        <w:t xml:space="preserve">As a drawback the </w:t>
      </w:r>
      <w:proofErr w:type="spellStart"/>
      <w:r w:rsidRPr="00104EE1">
        <w:rPr>
          <w:lang w:val="en-US"/>
        </w:rPr>
        <w:t>astrobee</w:t>
      </w:r>
      <w:proofErr w:type="spellEnd"/>
      <w:r w:rsidRPr="00104EE1">
        <w:rPr>
          <w:lang w:val="en-US"/>
        </w:rPr>
        <w:t xml:space="preserve"> reaches its final position after approximately 6 seconds compared to 4.5 seconds</w:t>
      </w:r>
      <w:r w:rsidR="00104EE1" w:rsidRPr="00104EE1">
        <w:rPr>
          <w:lang w:val="en-US"/>
        </w:rPr>
        <w:t xml:space="preserve"> for the standard case</w:t>
      </w:r>
      <w:r w:rsidRPr="00104EE1">
        <w:rPr>
          <w:lang w:val="en-US"/>
        </w:rPr>
        <w:t xml:space="preserve">. It also uses a smaller force input </w:t>
      </w:r>
      <w:r w:rsidR="00104EE1" w:rsidRPr="00104EE1">
        <w:rPr>
          <w:lang w:val="en-US"/>
        </w:rPr>
        <w:t xml:space="preserve">with a maximum of 0.13 N which can be compared to 0.3 N for the standard case. </w:t>
      </w:r>
    </w:p>
    <w:p w14:paraId="4BE1A0E5" w14:textId="2DB39BC8" w:rsidR="00104EE1" w:rsidRDefault="00104EE1" w:rsidP="00104EE1">
      <w:pPr>
        <w:pStyle w:val="Listenabsatz"/>
        <w:numPr>
          <w:ilvl w:val="0"/>
          <w:numId w:val="3"/>
        </w:numPr>
        <w:rPr>
          <w:lang w:val="en-US"/>
        </w:rPr>
      </w:pPr>
      <w:r>
        <w:rPr>
          <w:b/>
          <w:bCs/>
          <w:lang w:val="en-US"/>
        </w:rPr>
        <w:t xml:space="preserve">By adding 100 to the velocity components of Q, </w:t>
      </w:r>
      <w:r>
        <w:rPr>
          <w:lang w:val="en-US"/>
        </w:rPr>
        <w:t>the energy used is</w:t>
      </w:r>
      <w:r w:rsidR="00791AAF">
        <w:rPr>
          <w:lang w:val="en-US"/>
        </w:rPr>
        <w:t xml:space="preserve"> reduced to 32 with the drawback of increased position</w:t>
      </w:r>
      <w:r w:rsidR="00CF5FD2">
        <w:rPr>
          <w:lang w:val="en-US"/>
        </w:rPr>
        <w:t>al</w:t>
      </w:r>
      <w:r w:rsidR="00791AAF">
        <w:rPr>
          <w:lang w:val="en-US"/>
        </w:rPr>
        <w:t xml:space="preserve"> integral error to 18 and attitud</w:t>
      </w:r>
      <w:r w:rsidR="00CF5FD2">
        <w:rPr>
          <w:lang w:val="en-US"/>
        </w:rPr>
        <w:t>e</w:t>
      </w:r>
      <w:r w:rsidR="00791AAF">
        <w:rPr>
          <w:lang w:val="en-US"/>
        </w:rPr>
        <w:t xml:space="preserve"> integral error of 7. The </w:t>
      </w:r>
      <w:proofErr w:type="spellStart"/>
      <w:r w:rsidR="00791AAF">
        <w:rPr>
          <w:lang w:val="en-US"/>
        </w:rPr>
        <w:t>astrobee</w:t>
      </w:r>
      <w:proofErr w:type="spellEnd"/>
      <w:r w:rsidR="00791AAF">
        <w:rPr>
          <w:lang w:val="en-US"/>
        </w:rPr>
        <w:t xml:space="preserve"> will not reach its final position within simulation time of 20 seconds.  The maximum velocity is </w:t>
      </w:r>
      <w:r w:rsidR="00CF5FD2">
        <w:rPr>
          <w:lang w:val="en-US"/>
        </w:rPr>
        <w:t>decreased 0.017 m/s. This can be compared to the standard case when the maximum of approximately 0.075 m/s.</w:t>
      </w:r>
    </w:p>
    <w:p w14:paraId="54BAD401" w14:textId="7D0AB1E8" w:rsidR="00104EE1" w:rsidRPr="00104EE1" w:rsidRDefault="00104EE1" w:rsidP="00104EE1">
      <w:pPr>
        <w:pStyle w:val="Listenabsatz"/>
        <w:numPr>
          <w:ilvl w:val="0"/>
          <w:numId w:val="3"/>
        </w:numPr>
        <w:rPr>
          <w:lang w:val="en-US"/>
        </w:rPr>
      </w:pPr>
      <w:r>
        <w:rPr>
          <w:b/>
          <w:bCs/>
          <w:lang w:val="en-US"/>
        </w:rPr>
        <w:t xml:space="preserve">By adding 100 to the positional components of Q, </w:t>
      </w:r>
      <w:r w:rsidR="002314BE">
        <w:rPr>
          <w:lang w:val="en-US"/>
        </w:rPr>
        <w:t>the MPC problem becomes infeasible.</w:t>
      </w:r>
      <w:r w:rsidR="00FA0376">
        <w:rPr>
          <w:lang w:val="en-US"/>
        </w:rPr>
        <w:t xml:space="preserve"> Since the position and attitude is penalized to high there is no invariant set found</w:t>
      </w:r>
      <w:r w:rsidR="008C27B4">
        <w:rPr>
          <w:lang w:val="en-US"/>
        </w:rPr>
        <w:t>.</w:t>
      </w:r>
    </w:p>
    <w:p w14:paraId="62B4FF64" w14:textId="48338C6E" w:rsidR="00104EE1" w:rsidRDefault="00104EE1" w:rsidP="00104EE1">
      <w:pPr>
        <w:pStyle w:val="Listenabsatz"/>
        <w:numPr>
          <w:ilvl w:val="0"/>
          <w:numId w:val="3"/>
        </w:numPr>
        <w:rPr>
          <w:lang w:val="en-US"/>
        </w:rPr>
      </w:pPr>
      <w:r>
        <w:rPr>
          <w:b/>
          <w:bCs/>
          <w:lang w:val="en-US"/>
        </w:rPr>
        <w:t xml:space="preserve">By increasing all elements of Q with 100, </w:t>
      </w:r>
      <w:r w:rsidRPr="00104EE1">
        <w:rPr>
          <w:lang w:val="en-US"/>
        </w:rPr>
        <w:t>t</w:t>
      </w:r>
      <w:r w:rsidR="001F2403">
        <w:rPr>
          <w:lang w:val="en-US"/>
        </w:rPr>
        <w:t xml:space="preserve">he MPC problem becomes infeasible again. </w:t>
      </w:r>
    </w:p>
    <w:p w14:paraId="4FA81F57" w14:textId="3B74D685" w:rsidR="007C4053" w:rsidRDefault="007C4053" w:rsidP="007C4053">
      <w:pPr>
        <w:ind w:left="360"/>
        <w:rPr>
          <w:rFonts w:eastAsiaTheme="minorEastAsia"/>
          <w:lang w:val="en-US"/>
        </w:rPr>
      </w:pPr>
      <w:r>
        <w:rPr>
          <w:lang w:val="en-US"/>
        </w:rPr>
        <w:t xml:space="preserve">The infeasibility of the problem for </w:t>
      </w:r>
      <w:r w:rsidR="00130D05">
        <w:rPr>
          <w:lang w:val="en-US"/>
        </w:rPr>
        <w:t xml:space="preserve">a </w:t>
      </w:r>
      <w:r>
        <w:rPr>
          <w:lang w:val="en-US"/>
        </w:rPr>
        <w:t>Q matrix with 100 on position penalt</w:t>
      </w:r>
      <w:r w:rsidR="00130D05">
        <w:rPr>
          <w:lang w:val="en-US"/>
        </w:rPr>
        <w:t>ies</w:t>
      </w:r>
      <w:r>
        <w:rPr>
          <w:lang w:val="en-US"/>
        </w:rPr>
        <w:t xml:space="preserve"> or on all states could be explained </w:t>
      </w:r>
      <w:r w:rsidR="00130D05">
        <w:rPr>
          <w:lang w:val="en-US"/>
        </w:rPr>
        <w:t xml:space="preserve">by having a closer look on the Algebraic </w:t>
      </w:r>
      <w:proofErr w:type="spellStart"/>
      <w:r w:rsidR="00130D05">
        <w:rPr>
          <w:lang w:val="en-US"/>
        </w:rPr>
        <w:t>Riccati</w:t>
      </w:r>
      <w:proofErr w:type="spellEnd"/>
      <w:r w:rsidR="00130D05">
        <w:rPr>
          <w:lang w:val="en-US"/>
        </w:rPr>
        <w:t xml:space="preserve"> Equation (ARE). The </w:t>
      </w:r>
      <m:oMath>
        <m:r>
          <w:rPr>
            <w:rFonts w:ascii="Cambria Math" w:hAnsi="Cambria Math"/>
            <w:lang w:val="en-US"/>
          </w:rPr>
          <m:t>Q</m:t>
        </m:r>
      </m:oMath>
      <w:r w:rsidR="00130D05">
        <w:rPr>
          <w:rFonts w:eastAsiaTheme="minorEastAsia"/>
          <w:lang w:val="en-US"/>
        </w:rPr>
        <w:t xml:space="preserve"> matrix is used to calculate</w:t>
      </w:r>
      <w:r w:rsidR="00A51C5F">
        <w:rPr>
          <w:rFonts w:eastAsiaTheme="minorEastAsia"/>
          <w:lang w:val="en-US"/>
        </w:rPr>
        <w:t xml:space="preserve"> the terminal cost</w:t>
      </w:r>
      <w:r w:rsidR="00130D05">
        <w:rPr>
          <w:rFonts w:eastAsiaTheme="minorEastAsia"/>
          <w:lang w:val="en-US"/>
        </w:rPr>
        <w:t xml:space="preserve"> </w:t>
      </w:r>
      <m:oMath>
        <m:r>
          <w:rPr>
            <w:rFonts w:ascii="Cambria Math" w:eastAsiaTheme="minorEastAsia" w:hAnsi="Cambria Math"/>
            <w:lang w:val="en-US"/>
          </w:rPr>
          <m:t>P</m:t>
        </m:r>
      </m:oMath>
      <w:r w:rsidR="00130D05">
        <w:rPr>
          <w:rFonts w:eastAsiaTheme="minorEastAsia"/>
          <w:lang w:val="en-US"/>
        </w:rPr>
        <w:t>.</w:t>
      </w:r>
      <w:r w:rsidR="00A51C5F">
        <w:rPr>
          <w:rFonts w:eastAsiaTheme="minorEastAsia"/>
          <w:lang w:val="en-US"/>
        </w:rPr>
        <w:t xml:space="preserve"> By an increase of </w:t>
      </w:r>
      <m:oMath>
        <m:r>
          <w:rPr>
            <w:rFonts w:ascii="Cambria Math" w:eastAsiaTheme="minorEastAsia" w:hAnsi="Cambria Math"/>
            <w:lang w:val="en-US"/>
          </w:rPr>
          <m:t>Q</m:t>
        </m:r>
      </m:oMath>
      <w:r w:rsidR="00A51C5F">
        <w:rPr>
          <w:rFonts w:eastAsiaTheme="minorEastAsia"/>
          <w:lang w:val="en-US"/>
        </w:rPr>
        <w:t xml:space="preserve"> the terminal cost </w:t>
      </w:r>
      <m:oMath>
        <m:r>
          <w:rPr>
            <w:rFonts w:ascii="Cambria Math" w:eastAsiaTheme="minorEastAsia" w:hAnsi="Cambria Math"/>
            <w:lang w:val="en-US"/>
          </w:rPr>
          <m:t>P</m:t>
        </m:r>
      </m:oMath>
      <w:r w:rsidR="008A17C7">
        <w:rPr>
          <w:rFonts w:eastAsiaTheme="minorEastAsia"/>
          <w:lang w:val="en-US"/>
        </w:rPr>
        <w:t xml:space="preserve"> also increases. In the given task the penalty on the position increases by: </w:t>
      </w:r>
      <m:oMath>
        <m:f>
          <m:fPr>
            <m:ctrlPr>
              <w:rPr>
                <w:rFonts w:ascii="Cambria Math" w:eastAsiaTheme="minorEastAsia" w:hAnsi="Cambria Math"/>
                <w:i/>
                <w:lang w:val="en-US"/>
              </w:rPr>
            </m:ctrlPr>
          </m:fPr>
          <m:num>
            <m:r>
              <w:rPr>
                <w:rFonts w:ascii="Cambria Math" w:eastAsiaTheme="minorEastAsia" w:hAnsi="Cambria Math"/>
                <w:lang w:val="en-US"/>
              </w:rPr>
              <m:t>1321</m:t>
            </m:r>
          </m:num>
          <m:den>
            <m:r>
              <w:rPr>
                <w:rFonts w:ascii="Cambria Math" w:eastAsiaTheme="minorEastAsia" w:hAnsi="Cambria Math"/>
                <w:lang w:val="en-US"/>
              </w:rPr>
              <m:t>27</m:t>
            </m:r>
          </m:den>
        </m:f>
        <m:r>
          <w:rPr>
            <w:rFonts w:ascii="Cambria Math" w:eastAsiaTheme="minorEastAsia" w:hAnsi="Cambria Math"/>
            <w:lang w:val="en-US"/>
          </w:rPr>
          <m:t>≈50</m:t>
        </m:r>
      </m:oMath>
      <w:r w:rsidR="006B175E">
        <w:rPr>
          <w:rFonts w:eastAsiaTheme="minorEastAsia"/>
          <w:lang w:val="en-US"/>
        </w:rPr>
        <w:t>. This higher penalty makes the problem unfeasible because the desired terminal conditions are not met.</w:t>
      </w:r>
    </w:p>
    <w:p w14:paraId="4412BD97" w14:textId="77777777" w:rsidR="008A17C7" w:rsidRDefault="008A17C7" w:rsidP="007C4053">
      <w:pPr>
        <w:ind w:left="360"/>
        <w:rPr>
          <w:rFonts w:eastAsiaTheme="minorEastAsia"/>
          <w:lang w:val="en-US"/>
        </w:rPr>
      </w:pPr>
    </w:p>
    <w:p w14:paraId="0EE52B8B" w14:textId="19EEF0DD" w:rsidR="008A17C7" w:rsidRPr="008A17C7" w:rsidRDefault="008A17C7" w:rsidP="007C4053">
      <w:pPr>
        <w:ind w:left="360"/>
        <w:rPr>
          <w:rFonts w:eastAsiaTheme="minorEastAsia"/>
          <w:lang w:val="en-US"/>
        </w:rPr>
      </w:pPr>
      <m:oMathPara>
        <m:oMathParaPr>
          <m:jc m:val="center"/>
        </m:oMathParaP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e>
          </m:d>
          <m:r>
            <w:rPr>
              <w:rFonts w:ascii="Cambria Math" w:eastAsiaTheme="minorEastAsia" w:hAnsi="Cambria Math"/>
              <w:lang w:val="en-US"/>
            </w:rPr>
            <m:t>=</m:t>
          </m:r>
        </m:oMath>
      </m:oMathPara>
    </w:p>
    <w:p w14:paraId="7C2BA0CA" w14:textId="2DFF89EA" w:rsidR="008A17C7" w:rsidRPr="008A17C7" w:rsidRDefault="008A17C7" w:rsidP="008A17C7">
      <w:pPr>
        <w:ind w:left="360"/>
        <w:rPr>
          <w:rFonts w:ascii="Cambria Math" w:hAnsi="Cambria Math"/>
          <w:lang w:val="de-DE"/>
          <w:oMath/>
        </w:rPr>
      </w:pPr>
      <m:oMathPara>
        <m:oMath>
          <m:r>
            <w:rPr>
              <w:rFonts w:ascii="Cambria Math" w:hAnsi="Cambria Math"/>
              <w:lang w:val="de-DE"/>
            </w:rPr>
            <m:t>[[</m:t>
          </m:r>
          <m:r>
            <m:rPr>
              <m:sty m:val="bi"/>
            </m:rPr>
            <w:rPr>
              <w:rFonts w:ascii="Cambria Math" w:hAnsi="Cambria Math"/>
              <w:lang w:val="de-DE"/>
            </w:rPr>
            <m:t>27.0985</m:t>
          </m:r>
          <m:r>
            <w:rPr>
              <w:rFonts w:ascii="Cambria Math" w:hAnsi="Cambria Math"/>
              <w:lang w:val="de-DE"/>
            </w:rPr>
            <m:t>, 0, 0, 30.3616, 0, 0, 3.14121e-14, 0, 0, 2.82294e-15, 0, 0],</m:t>
          </m:r>
        </m:oMath>
      </m:oMathPara>
    </w:p>
    <w:p w14:paraId="30C45ACC" w14:textId="10A97C97"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m:t>
          </m:r>
          <m:r>
            <m:rPr>
              <m:sty m:val="bi"/>
            </m:rPr>
            <w:rPr>
              <w:rFonts w:ascii="Cambria Math" w:hAnsi="Cambria Math"/>
              <w:lang w:val="de-DE"/>
            </w:rPr>
            <m:t xml:space="preserve"> 27.0985</m:t>
          </m:r>
          <m:r>
            <w:rPr>
              <w:rFonts w:ascii="Cambria Math" w:hAnsi="Cambria Math"/>
              <w:lang w:val="de-DE"/>
            </w:rPr>
            <m:t>, 0, 0, 30.3616, 0, 0, -1.97159e-14, 0, 0, -4.28624e-16, 0],</m:t>
          </m:r>
        </m:oMath>
      </m:oMathPara>
    </w:p>
    <w:p w14:paraId="77DC0FDC" w14:textId="716F72BE"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 0,</m:t>
          </m:r>
          <m:r>
            <m:rPr>
              <m:sty m:val="bi"/>
            </m:rPr>
            <w:rPr>
              <w:rFonts w:ascii="Cambria Math" w:hAnsi="Cambria Math"/>
              <w:lang w:val="de-DE"/>
            </w:rPr>
            <m:t xml:space="preserve"> 27.0985</m:t>
          </m:r>
          <m:r>
            <w:rPr>
              <w:rFonts w:ascii="Cambria Math" w:hAnsi="Cambria Math"/>
              <w:lang w:val="de-DE"/>
            </w:rPr>
            <m:t>, 0, 0, 30.3616, 0, 0, -9.35454e-15, 0, 0, -5.90929e-17],</m:t>
          </m:r>
        </m:oMath>
      </m:oMathPara>
    </w:p>
    <w:p w14:paraId="50595D43" w14:textId="1AF13044"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[30.3616, 0, 0, 81.258, 0, 0, -1.59214e-15, 0, 0, -1.92073e-15, 0, 0],</m:t>
          </m:r>
        </m:oMath>
      </m:oMathPara>
    </w:p>
    <w:p w14:paraId="0F5BB460" w14:textId="128CB848"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 30.3616, 0, 0, 81.258, 0, 0, -4.12697e-14, 0, 0, 1.12183e-15, 0],</m:t>
          </m:r>
        </m:oMath>
      </m:oMathPara>
    </w:p>
    <w:p w14:paraId="4C2382F8" w14:textId="2C593079"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 0, 30.3616, 0, 0, 81.258, 0, 0, -1.90297e-14, 0, 0, 8.92899e-16],</m:t>
          </m:r>
        </m:oMath>
      </m:oMathPara>
    </w:p>
    <w:p w14:paraId="09643180" w14:textId="0628E0DC"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[3.14121e-14, 0, 0, -1.59214e-15, 0, 0, </m:t>
          </m:r>
          <m:r>
            <m:rPr>
              <m:sty m:val="bi"/>
            </m:rPr>
            <w:rPr>
              <w:rFonts w:ascii="Cambria Math" w:hAnsi="Cambria Math"/>
              <w:lang w:val="de-DE"/>
            </w:rPr>
            <m:t>11.1855</m:t>
          </m:r>
          <m:r>
            <w:rPr>
              <w:rFonts w:ascii="Cambria Math" w:hAnsi="Cambria Math"/>
              <w:lang w:val="de-DE"/>
            </w:rPr>
            <m:t>, 0, 0, 0.696487, 0, 0],</m:t>
          </m:r>
        </m:oMath>
      </m:oMathPara>
    </w:p>
    <w:p w14:paraId="63CBA0F6" w14:textId="64F4C094"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 -1.97159e-14, 0, 0, -4.12697e-14, 0, 0, </m:t>
          </m:r>
          <m:r>
            <m:rPr>
              <m:sty m:val="bi"/>
            </m:rPr>
            <w:rPr>
              <w:rFonts w:ascii="Cambria Math" w:hAnsi="Cambria Math"/>
              <w:lang w:val="de-DE"/>
            </w:rPr>
            <m:t>11.1638</m:t>
          </m:r>
          <m:r>
            <w:rPr>
              <w:rFonts w:ascii="Cambria Math" w:hAnsi="Cambria Math"/>
              <w:lang w:val="de-DE"/>
            </w:rPr>
            <m:t>, 0, 0, 0.673364, 0],</m:t>
          </m:r>
        </m:oMath>
      </m:oMathPara>
    </w:p>
    <w:p w14:paraId="15EAF6AE" w14:textId="63BD89D8"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[0, 0, -9.35454e-15, 0, 0, -1.90297e-14, 0, 0,</m:t>
          </m:r>
          <m:r>
            <m:rPr>
              <m:sty m:val="bi"/>
            </m:rPr>
            <w:rPr>
              <w:rFonts w:ascii="Cambria Math" w:hAnsi="Cambria Math"/>
              <w:lang w:val="de-DE"/>
            </w:rPr>
            <m:t xml:space="preserve"> 11.2041</m:t>
          </m:r>
          <m:r>
            <w:rPr>
              <w:rFonts w:ascii="Cambria Math" w:hAnsi="Cambria Math"/>
              <w:lang w:val="de-DE"/>
            </w:rPr>
            <m:t>, 0, 0, 0.716369],</m:t>
          </m:r>
        </m:oMath>
      </m:oMathPara>
    </w:p>
    <w:p w14:paraId="7206279B" w14:textId="406716FD" w:rsidR="008A17C7" w:rsidRPr="008A17C7" w:rsidRDefault="008A17C7" w:rsidP="008A17C7">
      <w:pPr>
        <w:ind w:left="360"/>
        <w:rPr>
          <w:rFonts w:ascii="Cambria Math" w:hAnsi="Cambria Math"/>
          <w:lang w:val="de-DE"/>
          <w:oMath/>
        </w:rPr>
      </w:pPr>
      <m:oMathPara>
        <m:oMath>
          <m:r>
            <w:rPr>
              <w:rFonts w:ascii="Cambria Math" w:hAnsi="Cambria Math"/>
              <w:lang w:val="de-DE"/>
            </w:rPr>
            <m:t xml:space="preserve"> [2.82294e-15, 0, 0, -1.92073e-15, 0, 0, 0.696487, 0, 0, 1.24439, 0, 0],</m:t>
          </m:r>
        </m:oMath>
      </m:oMathPara>
    </w:p>
    <w:p w14:paraId="712A6090" w14:textId="2AF05BDF" w:rsidR="008A17C7" w:rsidRPr="008A17C7" w:rsidRDefault="008A17C7" w:rsidP="008A17C7">
      <w:pPr>
        <w:ind w:left="360"/>
        <w:rPr>
          <w:rFonts w:ascii="Cambria Math" w:hAnsi="Cambria Math"/>
          <w:lang w:val="en-US"/>
          <w:oMath/>
        </w:rPr>
      </w:pPr>
      <m:oMathPara>
        <m:oMath>
          <m:r>
            <w:rPr>
              <w:rFonts w:ascii="Cambria Math" w:hAnsi="Cambria Math"/>
              <w:lang w:val="de-DE"/>
            </w:rPr>
            <m:t xml:space="preserve"> </m:t>
          </m:r>
          <m:r>
            <w:rPr>
              <w:rFonts w:ascii="Cambria Math" w:hAnsi="Cambria Math"/>
              <w:lang w:val="en-US"/>
            </w:rPr>
            <m:t>[0, -4.28624e-16, 0, 0, 1.12183e-15, 0, 0, 0.673364, 0, 0, 1.21822, 0],</m:t>
          </m:r>
        </m:oMath>
      </m:oMathPara>
    </w:p>
    <w:p w14:paraId="6D8D90AC" w14:textId="0401AD3D" w:rsidR="008A17C7" w:rsidRPr="008A17C7" w:rsidRDefault="008A17C7" w:rsidP="008A17C7">
      <w:pPr>
        <w:ind w:left="360"/>
        <w:rPr>
          <w:rFonts w:eastAsiaTheme="minorEastAsia"/>
          <w:lang w:val="en-US"/>
        </w:rPr>
      </w:pPr>
      <m:oMathPara>
        <m:oMath>
          <m:r>
            <w:rPr>
              <w:rFonts w:ascii="Cambria Math" w:hAnsi="Cambria Math"/>
              <w:lang w:val="en-US"/>
            </w:rPr>
            <m:t xml:space="preserve"> [0, 0, -5.90929e-17, 0, 0, 8.92899e-16, 0, 0, 0.716369, 0, 0, 1.26697]]</m:t>
          </m:r>
        </m:oMath>
      </m:oMathPara>
    </w:p>
    <w:p w14:paraId="54EE7662" w14:textId="77777777" w:rsidR="008A17C7" w:rsidRDefault="008A17C7" w:rsidP="008A17C7">
      <w:pPr>
        <w:ind w:left="360"/>
        <w:rPr>
          <w:rFonts w:eastAsiaTheme="minorEastAsia"/>
          <w:lang w:val="en-US"/>
        </w:rPr>
      </w:pPr>
    </w:p>
    <w:p w14:paraId="537C2CD0" w14:textId="77777777" w:rsidR="008A17C7" w:rsidRDefault="008A17C7" w:rsidP="008A17C7">
      <w:pPr>
        <w:ind w:left="360"/>
        <w:rPr>
          <w:rFonts w:eastAsiaTheme="minorEastAsia"/>
          <w:lang w:val="en-US"/>
        </w:rPr>
      </w:pPr>
    </w:p>
    <w:p w14:paraId="11A16946" w14:textId="77777777" w:rsidR="008A17C7" w:rsidRDefault="008A17C7" w:rsidP="008A17C7">
      <w:pPr>
        <w:ind w:left="360"/>
        <w:rPr>
          <w:rFonts w:eastAsiaTheme="minorEastAsia"/>
          <w:lang w:val="en-US"/>
        </w:rPr>
      </w:pPr>
    </w:p>
    <w:p w14:paraId="5ED8C728" w14:textId="77777777" w:rsidR="008A17C7" w:rsidRDefault="008A17C7" w:rsidP="008A17C7">
      <w:pPr>
        <w:ind w:left="360"/>
        <w:rPr>
          <w:rFonts w:eastAsiaTheme="minorEastAsia"/>
          <w:lang w:val="en-US"/>
        </w:rPr>
      </w:pPr>
    </w:p>
    <w:p w14:paraId="070251A6" w14:textId="23C9CEB9" w:rsidR="008A17C7" w:rsidRDefault="008A17C7" w:rsidP="008A17C7">
      <w:pPr>
        <w:ind w:left="360"/>
        <w:rPr>
          <w:rFonts w:eastAsiaTheme="minorEastAsia"/>
          <w:lang w:val="de-DE"/>
        </w:rPr>
      </w:pPr>
      <m:oMathPara>
        <m:oMath>
          <m:r>
            <w:rPr>
              <w:rFonts w:ascii="Cambria Math" w:eastAsiaTheme="minorEastAsia" w:hAnsi="Cambria Math"/>
              <w:lang w:val="de-DE"/>
            </w:rPr>
            <m:t>P</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Q</m:t>
                  </m:r>
                </m:e>
                <m:sub>
                  <m:r>
                    <w:rPr>
                      <w:rFonts w:ascii="Cambria Math" w:eastAsiaTheme="minorEastAsia" w:hAnsi="Cambria Math"/>
                      <w:lang w:val="de-DE"/>
                    </w:rPr>
                    <m:t>100</m:t>
                  </m:r>
                </m:sub>
              </m:sSub>
            </m:e>
          </m:d>
          <m:r>
            <w:rPr>
              <w:rFonts w:ascii="Cambria Math" w:eastAsiaTheme="minorEastAsia" w:hAnsi="Cambria Math"/>
              <w:lang w:val="de-DE"/>
            </w:rPr>
            <m:t>=</m:t>
          </m:r>
        </m:oMath>
      </m:oMathPara>
    </w:p>
    <w:p w14:paraId="48267790" w14:textId="65288AF7"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m:t>
          </m:r>
          <m:r>
            <m:rPr>
              <m:sty m:val="bi"/>
            </m:rPr>
            <w:rPr>
              <w:rFonts w:ascii="Cambria Math" w:eastAsiaTheme="minorEastAsia" w:hAnsi="Cambria Math"/>
              <w:lang w:val="de-DE"/>
            </w:rPr>
            <m:t>1321.93</m:t>
          </m:r>
          <m:r>
            <w:rPr>
              <w:rFonts w:ascii="Cambria Math" w:eastAsiaTheme="minorEastAsia" w:hAnsi="Cambria Math"/>
              <w:lang w:val="de-DE"/>
            </w:rPr>
            <m:t>, 0, 0, 307.65, 0, 0, 1.5807e-12, 0, 0, 7.49196e-14, 0, 0],</m:t>
          </m:r>
        </m:oMath>
      </m:oMathPara>
    </w:p>
    <w:p w14:paraId="06C5B24C" w14:textId="364B189D"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m:t>
          </m:r>
          <m:r>
            <m:rPr>
              <m:sty m:val="bi"/>
            </m:rPr>
            <w:rPr>
              <w:rFonts w:ascii="Cambria Math" w:eastAsiaTheme="minorEastAsia" w:hAnsi="Cambria Math"/>
              <w:lang w:val="de-DE"/>
            </w:rPr>
            <m:t xml:space="preserve"> 1321.93</m:t>
          </m:r>
          <m:r>
            <w:rPr>
              <w:rFonts w:ascii="Cambria Math" w:eastAsiaTheme="minorEastAsia" w:hAnsi="Cambria Math"/>
              <w:lang w:val="de-DE"/>
            </w:rPr>
            <m:t>, 0, 0, 307.65, 0, 0, -6.69998e-13, 0, 0, -3.84092e-14, 0],</m:t>
          </m:r>
        </m:oMath>
      </m:oMathPara>
    </w:p>
    <w:p w14:paraId="6955BF0F" w14:textId="5647C713"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 0, </m:t>
          </m:r>
          <m:r>
            <m:rPr>
              <m:sty m:val="bi"/>
            </m:rPr>
            <w:rPr>
              <w:rFonts w:ascii="Cambria Math" w:eastAsiaTheme="minorEastAsia" w:hAnsi="Cambria Math"/>
              <w:lang w:val="de-DE"/>
            </w:rPr>
            <m:t>1321.93</m:t>
          </m:r>
          <m:r>
            <w:rPr>
              <w:rFonts w:ascii="Cambria Math" w:eastAsiaTheme="minorEastAsia" w:hAnsi="Cambria Math"/>
              <w:lang w:val="de-DE"/>
            </w:rPr>
            <m:t>, 0, 0, 307.65, 0, 0, -1.70296e-12, 0, 0, -1.00003e-13],</m:t>
          </m:r>
        </m:oMath>
      </m:oMathPara>
    </w:p>
    <w:p w14:paraId="198F9E29" w14:textId="4CF39DE7"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[307.65, 0, 0, 441.328, 0, 0, -4.58884e-13, 0, 0, -9.67509e-16, 0, 0],</m:t>
          </m:r>
        </m:oMath>
      </m:oMathPara>
    </w:p>
    <w:p w14:paraId="35B33A1A" w14:textId="52CC41BB"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 307.65, 0, 0, 441.328, 0, 0, 2.77617e-13, 0, 0, 1.0239e-14, 0],</m:t>
          </m:r>
        </m:oMath>
      </m:oMathPara>
    </w:p>
    <w:p w14:paraId="37C8BB8E" w14:textId="5A4B0924"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 0, 307.65, 0, 0, 441.328, 0, 0, 3.89263e-13, 0, 0, 7.25069e-15],</m:t>
          </m:r>
        </m:oMath>
      </m:oMathPara>
    </w:p>
    <w:p w14:paraId="2AD014B3" w14:textId="797274FC"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[1.5807e-12, 0, 0, -4.58884e-13, 0, 0,</m:t>
          </m:r>
          <m:r>
            <m:rPr>
              <m:sty m:val="bi"/>
            </m:rPr>
            <w:rPr>
              <w:rFonts w:ascii="Cambria Math" w:eastAsiaTheme="minorEastAsia" w:hAnsi="Cambria Math"/>
              <w:lang w:val="de-DE"/>
            </w:rPr>
            <m:t xml:space="preserve"> 1100.21</m:t>
          </m:r>
          <m:r>
            <w:rPr>
              <w:rFonts w:ascii="Cambria Math" w:eastAsiaTheme="minorEastAsia" w:hAnsi="Cambria Math"/>
              <w:lang w:val="de-DE"/>
            </w:rPr>
            <m:t>, 0, 0, 50.2191, 0, 0],</m:t>
          </m:r>
        </m:oMath>
      </m:oMathPara>
    </w:p>
    <w:p w14:paraId="0BB6CFE7" w14:textId="6C697E5B"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 -6.69998e-13, 0, 0, 2.77617e-13, 0, 0,</m:t>
          </m:r>
          <m:r>
            <m:rPr>
              <m:sty m:val="bi"/>
            </m:rPr>
            <w:rPr>
              <w:rFonts w:ascii="Cambria Math" w:eastAsiaTheme="minorEastAsia" w:hAnsi="Cambria Math"/>
              <w:lang w:val="de-DE"/>
            </w:rPr>
            <m:t xml:space="preserve"> 1100.18</m:t>
          </m:r>
          <m:r>
            <w:rPr>
              <w:rFonts w:ascii="Cambria Math" w:eastAsiaTheme="minorEastAsia" w:hAnsi="Cambria Math"/>
              <w:lang w:val="de-DE"/>
            </w:rPr>
            <m:t>, 0, 0, 50.1876, 0],</m:t>
          </m:r>
        </m:oMath>
      </m:oMathPara>
    </w:p>
    <w:p w14:paraId="7F527F38" w14:textId="694632E1"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[0, 0, -1.70296e-12, 0, 0, 3.89263e-13, 0, 0, </m:t>
          </m:r>
          <m:r>
            <m:rPr>
              <m:sty m:val="bi"/>
            </m:rPr>
            <w:rPr>
              <w:rFonts w:ascii="Cambria Math" w:eastAsiaTheme="minorEastAsia" w:hAnsi="Cambria Math"/>
              <w:lang w:val="de-DE"/>
            </w:rPr>
            <m:t>1100.24</m:t>
          </m:r>
          <m:r>
            <w:rPr>
              <w:rFonts w:ascii="Cambria Math" w:eastAsiaTheme="minorEastAsia" w:hAnsi="Cambria Math"/>
              <w:lang w:val="de-DE"/>
            </w:rPr>
            <m:t>, 0, 0, 50.2471],</m:t>
          </m:r>
        </m:oMath>
      </m:oMathPara>
    </w:p>
    <w:p w14:paraId="1AE7914A" w14:textId="1F5057C2" w:rsidR="008A17C7" w:rsidRPr="008A17C7" w:rsidRDefault="008A17C7" w:rsidP="008A17C7">
      <w:pPr>
        <w:ind w:left="360"/>
        <w:rPr>
          <w:rFonts w:ascii="Cambria Math" w:eastAsiaTheme="minorEastAsia" w:hAnsi="Cambria Math"/>
          <w:lang w:val="de-DE"/>
          <w:oMath/>
        </w:rPr>
      </w:pPr>
      <m:oMathPara>
        <m:oMath>
          <m:r>
            <w:rPr>
              <w:rFonts w:ascii="Cambria Math" w:eastAsiaTheme="minorEastAsia" w:hAnsi="Cambria Math"/>
              <w:lang w:val="de-DE"/>
            </w:rPr>
            <m:t xml:space="preserve"> [7.49196e-14, 0, 0, -9.67509e-16, 0, 0, 50.2191, 0, 0, 102.756, 0, 0],</m:t>
          </m:r>
        </m:oMath>
      </m:oMathPara>
    </w:p>
    <w:p w14:paraId="40BD86CB" w14:textId="332E1CDE" w:rsidR="008A17C7" w:rsidRPr="008A17C7" w:rsidRDefault="008A17C7" w:rsidP="008A17C7">
      <w:pPr>
        <w:ind w:left="360"/>
        <w:rPr>
          <w:rFonts w:ascii="Cambria Math" w:eastAsiaTheme="minorEastAsia" w:hAnsi="Cambria Math"/>
          <w:lang w:val="en-US"/>
          <w:oMath/>
        </w:rPr>
      </w:pPr>
      <m:oMathPara>
        <m:oMath>
          <m:r>
            <w:rPr>
              <w:rFonts w:ascii="Cambria Math" w:eastAsiaTheme="minorEastAsia" w:hAnsi="Cambria Math"/>
              <w:lang w:val="de-DE"/>
            </w:rPr>
            <m:t xml:space="preserve"> </m:t>
          </m:r>
          <m:r>
            <w:rPr>
              <w:rFonts w:ascii="Cambria Math" w:eastAsiaTheme="minorEastAsia" w:hAnsi="Cambria Math"/>
              <w:lang w:val="en-US"/>
            </w:rPr>
            <m:t>[0, -3.84092e-14, 0, 0, 1.0239e-14, 0, 0, 50.1876, 0, 0, 102.722, 0],</m:t>
          </m:r>
        </m:oMath>
      </m:oMathPara>
    </w:p>
    <w:p w14:paraId="3B2DEDA6" w14:textId="27428FE1" w:rsidR="008A17C7" w:rsidRPr="008A17C7" w:rsidRDefault="008A17C7" w:rsidP="008A17C7">
      <w:pPr>
        <w:ind w:left="360"/>
        <w:rPr>
          <w:rFonts w:ascii="Cambria Math" w:hAnsi="Cambria Math"/>
          <w:lang w:val="en-US"/>
          <w:oMath/>
        </w:rPr>
      </w:pPr>
      <m:oMathPara>
        <m:oMath>
          <m:r>
            <w:rPr>
              <w:rFonts w:ascii="Cambria Math" w:eastAsiaTheme="minorEastAsia" w:hAnsi="Cambria Math"/>
              <w:lang w:val="en-US"/>
            </w:rPr>
            <m:t xml:space="preserve"> [0, 0, -1.00003e-13, 0, 0, 7.25069e-15, 0, 0, 50.2471, 0, 0, 102.787]]</m:t>
          </m:r>
        </m:oMath>
      </m:oMathPara>
    </w:p>
    <w:p w14:paraId="0888B462" w14:textId="77777777" w:rsidR="00104EE1" w:rsidRPr="007A2216" w:rsidRDefault="00104EE1" w:rsidP="00F606F8">
      <w:pPr>
        <w:rPr>
          <w:lang w:val="en-US"/>
        </w:rPr>
      </w:pP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B2D01"/>
    <w:rsid w:val="001048C7"/>
    <w:rsid w:val="00104EE1"/>
    <w:rsid w:val="00130D05"/>
    <w:rsid w:val="001B05C8"/>
    <w:rsid w:val="001F2403"/>
    <w:rsid w:val="002314BE"/>
    <w:rsid w:val="002D0800"/>
    <w:rsid w:val="002F0606"/>
    <w:rsid w:val="003275ED"/>
    <w:rsid w:val="00486581"/>
    <w:rsid w:val="005250BE"/>
    <w:rsid w:val="00575AF0"/>
    <w:rsid w:val="00577FAF"/>
    <w:rsid w:val="0062725B"/>
    <w:rsid w:val="0065715A"/>
    <w:rsid w:val="006B175E"/>
    <w:rsid w:val="00772C70"/>
    <w:rsid w:val="00791AAF"/>
    <w:rsid w:val="007A2216"/>
    <w:rsid w:val="007C25A4"/>
    <w:rsid w:val="007C4053"/>
    <w:rsid w:val="00881012"/>
    <w:rsid w:val="008A17C7"/>
    <w:rsid w:val="008C27B4"/>
    <w:rsid w:val="008D1ABE"/>
    <w:rsid w:val="008F4346"/>
    <w:rsid w:val="009C4425"/>
    <w:rsid w:val="00A1713C"/>
    <w:rsid w:val="00A205B6"/>
    <w:rsid w:val="00A51C5F"/>
    <w:rsid w:val="00B5646A"/>
    <w:rsid w:val="00C03E44"/>
    <w:rsid w:val="00C77315"/>
    <w:rsid w:val="00CF47FD"/>
    <w:rsid w:val="00CF5FD2"/>
    <w:rsid w:val="00D55317"/>
    <w:rsid w:val="00DC54A7"/>
    <w:rsid w:val="00E062A0"/>
    <w:rsid w:val="00E16559"/>
    <w:rsid w:val="00E30DC1"/>
    <w:rsid w:val="00E8389B"/>
    <w:rsid w:val="00EE20F9"/>
    <w:rsid w:val="00F606F8"/>
    <w:rsid w:val="00FA0376"/>
    <w:rsid w:val="00FA49CF"/>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6F8"/>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FA49C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2D0800"/>
    <w:rPr>
      <w:color w:val="808080"/>
    </w:rPr>
  </w:style>
  <w:style w:type="paragraph" w:styleId="Listenabsatz">
    <w:name w:val="List Paragraph"/>
    <w:basedOn w:val="Standard"/>
    <w:uiPriority w:val="34"/>
    <w:qFormat/>
    <w:rsid w:val="002D0800"/>
    <w:pPr>
      <w:ind w:left="720"/>
      <w:contextualSpacing/>
    </w:pPr>
  </w:style>
  <w:style w:type="table" w:styleId="Tabellenraster">
    <w:name w:val="Table Grid"/>
    <w:basedOn w:val="NormaleTabelle"/>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1206</Words>
  <Characters>6879</Characters>
  <Application>Microsoft Office Word</Application>
  <DocSecurity>0</DocSecurity>
  <Lines>57</Lines>
  <Paragraphs>16</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24</cp:revision>
  <dcterms:created xsi:type="dcterms:W3CDTF">2023-09-26T11:59:00Z</dcterms:created>
  <dcterms:modified xsi:type="dcterms:W3CDTF">2023-09-28T17:09:00Z</dcterms:modified>
</cp:coreProperties>
</file>