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0pt;margin-top:0pt;width:612pt;height:19.55pt;mso-position-horizontal-relative:page;mso-position-vertical-relative:page;z-index:-15790080" coordorigin="0,0" coordsize="12240,391">
            <v:rect style="position:absolute;left:0;top:0;width:12240;height:391" filled="true" fillcolor="#dddddd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240;height:391" type="#_x0000_t202" filled="false" stroked="false">
              <v:textbox inset="0,0,0,0">
                <w:txbxContent>
                  <w:p>
                    <w:pPr>
                      <w:spacing w:before="107"/>
                      <w:ind w:left="1603" w:right="1594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Note:</w:t>
                    </w: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The data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and information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in this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document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reflective of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 hypothetical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situation and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client.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This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document is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to be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used for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KPMG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Virtual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Internship purposes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only.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spacing w:before="93"/>
        <w:ind w:left="100"/>
      </w:pPr>
      <w:r>
        <w:rPr/>
        <w:t>Dear</w:t>
      </w:r>
      <w:r>
        <w:rPr>
          <w:spacing w:val="-1"/>
        </w:rPr>
        <w:t> </w:t>
      </w:r>
      <w:r>
        <w:rPr/>
        <w:t>[Client</w:t>
      </w:r>
      <w:r>
        <w:rPr>
          <w:spacing w:val="-1"/>
        </w:rPr>
        <w:t> </w:t>
      </w:r>
      <w:r>
        <w:rPr/>
        <w:t>point-of-contact],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61" w:lineRule="auto"/>
        <w:ind w:left="100" w:right="389"/>
      </w:pPr>
      <w:r>
        <w:rPr/>
        <w:t>Thank you for providing us with the three datasets from Sprocket Central Pty Ltd. The below table</w:t>
      </w:r>
      <w:r>
        <w:rPr>
          <w:spacing w:val="1"/>
        </w:rPr>
        <w:t> </w:t>
      </w:r>
      <w:r>
        <w:rPr/>
        <w:t>highlights the summary statistics from the three datasets received. Please let us know if the figures are</w:t>
      </w:r>
      <w:r>
        <w:rPr>
          <w:spacing w:val="-53"/>
        </w:rPr>
        <w:t> </w:t>
      </w:r>
      <w:r>
        <w:rPr/>
        <w:t>not</w:t>
      </w:r>
      <w:r>
        <w:rPr>
          <w:spacing w:val="-1"/>
        </w:rPr>
        <w:t> </w:t>
      </w:r>
      <w:r>
        <w:rPr/>
        <w:t>aligned</w:t>
      </w:r>
      <w:r>
        <w:rPr>
          <w:spacing w:val="-1"/>
        </w:rPr>
        <w:t> </w:t>
      </w:r>
      <w:r>
        <w:rPr/>
        <w:t>with your understanding.</w:t>
      </w: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2248"/>
        <w:gridCol w:w="2679"/>
        <w:gridCol w:w="2421"/>
      </w:tblGrid>
      <w:tr>
        <w:trPr>
          <w:trHeight w:val="371" w:hRule="atLeast"/>
        </w:trPr>
        <w:tc>
          <w:tcPr>
            <w:tcW w:w="2004" w:type="dxa"/>
          </w:tcPr>
          <w:p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  <w:u w:val="single"/>
              </w:rPr>
              <w:t>Table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name</w:t>
            </w:r>
          </w:p>
        </w:tc>
        <w:tc>
          <w:tcPr>
            <w:tcW w:w="2248" w:type="dxa"/>
          </w:tcPr>
          <w:p>
            <w:pPr>
              <w:pStyle w:val="TableParagraph"/>
              <w:spacing w:before="71"/>
              <w:ind w:left="91"/>
              <w:rPr>
                <w:sz w:val="20"/>
              </w:rPr>
            </w:pPr>
            <w:r>
              <w:rPr>
                <w:sz w:val="20"/>
                <w:u w:val="single"/>
              </w:rPr>
              <w:t>No.</w:t>
            </w:r>
            <w:r>
              <w:rPr>
                <w:spacing w:val="4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of records</w:t>
            </w:r>
          </w:p>
        </w:tc>
        <w:tc>
          <w:tcPr>
            <w:tcW w:w="2679" w:type="dxa"/>
          </w:tcPr>
          <w:p>
            <w:pPr>
              <w:pStyle w:val="TableParagraph"/>
              <w:spacing w:before="71"/>
              <w:ind w:left="82"/>
              <w:rPr>
                <w:sz w:val="20"/>
              </w:rPr>
            </w:pPr>
            <w:r>
              <w:rPr>
                <w:sz w:val="20"/>
                <w:u w:val="single"/>
              </w:rPr>
              <w:t>Distinct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Customer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IDs</w:t>
            </w:r>
          </w:p>
        </w:tc>
        <w:tc>
          <w:tcPr>
            <w:tcW w:w="2421" w:type="dxa"/>
          </w:tcPr>
          <w:p>
            <w:pPr>
              <w:pStyle w:val="TableParagraph"/>
              <w:spacing w:before="71"/>
              <w:ind w:left="83"/>
              <w:rPr>
                <w:sz w:val="20"/>
              </w:rPr>
            </w:pPr>
            <w:r>
              <w:rPr>
                <w:sz w:val="20"/>
                <w:u w:val="single"/>
              </w:rPr>
              <w:t>Date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Data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Received</w:t>
            </w:r>
          </w:p>
        </w:tc>
      </w:tr>
      <w:tr>
        <w:trPr>
          <w:trHeight w:val="623" w:hRule="atLeast"/>
        </w:trPr>
        <w:tc>
          <w:tcPr>
            <w:tcW w:w="2004" w:type="dxa"/>
          </w:tcPr>
          <w:p>
            <w:pPr>
              <w:pStyle w:val="TableParagraph"/>
              <w:spacing w:line="249" w:lineRule="auto" w:before="69"/>
              <w:ind w:right="8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Demographic</w:t>
            </w:r>
          </w:p>
        </w:tc>
        <w:tc>
          <w:tcPr>
            <w:tcW w:w="2248" w:type="dxa"/>
          </w:tcPr>
          <w:p>
            <w:pPr>
              <w:pStyle w:val="TableParagraph"/>
              <w:spacing w:before="69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-insert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value-</w:t>
            </w:r>
          </w:p>
        </w:tc>
        <w:tc>
          <w:tcPr>
            <w:tcW w:w="2679" w:type="dxa"/>
          </w:tcPr>
          <w:p>
            <w:pPr>
              <w:pStyle w:val="TableParagraph"/>
              <w:spacing w:before="69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-insert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value-</w:t>
            </w:r>
          </w:p>
        </w:tc>
        <w:tc>
          <w:tcPr>
            <w:tcW w:w="2421" w:type="dxa"/>
          </w:tcPr>
          <w:p>
            <w:pPr>
              <w:pStyle w:val="TableParagraph"/>
              <w:spacing w:before="69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-insert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value-</w:t>
            </w:r>
          </w:p>
        </w:tc>
      </w:tr>
      <w:tr>
        <w:trPr>
          <w:trHeight w:val="371" w:hRule="atLeast"/>
        </w:trPr>
        <w:tc>
          <w:tcPr>
            <w:tcW w:w="2004" w:type="dxa"/>
          </w:tcPr>
          <w:p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Address</w:t>
            </w:r>
          </w:p>
        </w:tc>
        <w:tc>
          <w:tcPr>
            <w:tcW w:w="2248" w:type="dxa"/>
          </w:tcPr>
          <w:p>
            <w:pPr>
              <w:pStyle w:val="TableParagraph"/>
              <w:spacing w:before="56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-insert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value-</w:t>
            </w:r>
          </w:p>
        </w:tc>
        <w:tc>
          <w:tcPr>
            <w:tcW w:w="2679" w:type="dxa"/>
          </w:tcPr>
          <w:p>
            <w:pPr>
              <w:pStyle w:val="TableParagraph"/>
              <w:spacing w:before="56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-insert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value-</w:t>
            </w:r>
          </w:p>
        </w:tc>
        <w:tc>
          <w:tcPr>
            <w:tcW w:w="2421" w:type="dxa"/>
          </w:tcPr>
          <w:p>
            <w:pPr>
              <w:pStyle w:val="TableParagraph"/>
              <w:spacing w:before="56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-insert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value-</w:t>
            </w:r>
          </w:p>
        </w:tc>
      </w:tr>
      <w:tr>
        <w:trPr>
          <w:trHeight w:val="371" w:hRule="atLeast"/>
        </w:trPr>
        <w:tc>
          <w:tcPr>
            <w:tcW w:w="20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2248" w:type="dxa"/>
          </w:tcPr>
          <w:p>
            <w:pPr>
              <w:pStyle w:val="TableParagraph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-insert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value-</w:t>
            </w:r>
          </w:p>
        </w:tc>
        <w:tc>
          <w:tcPr>
            <w:tcW w:w="2679" w:type="dxa"/>
          </w:tcPr>
          <w:p>
            <w:pPr>
              <w:pStyle w:val="TableParagraph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-insert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value-</w:t>
            </w:r>
          </w:p>
        </w:tc>
        <w:tc>
          <w:tcPr>
            <w:tcW w:w="2421" w:type="dxa"/>
          </w:tcPr>
          <w:p>
            <w:pPr>
              <w:pStyle w:val="TableParagraph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-insert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value-</w:t>
            </w:r>
          </w:p>
        </w:tc>
      </w:tr>
    </w:tbl>
    <w:p>
      <w:pPr>
        <w:pStyle w:val="BodyText"/>
        <w:spacing w:line="264" w:lineRule="auto" w:before="32"/>
        <w:ind w:left="100" w:right="176"/>
      </w:pPr>
      <w:r>
        <w:rPr/>
        <w:t>Notable data quality issues that were encountered and the methods used to mitigate the identified data</w:t>
      </w:r>
      <w:r>
        <w:rPr>
          <w:spacing w:val="1"/>
        </w:rPr>
        <w:t> </w:t>
      </w:r>
      <w:r>
        <w:rPr/>
        <w:t>inconsistencies are as follows. Furthermore, recommendations have been provided to avoid the re-</w:t>
      </w:r>
      <w:r>
        <w:rPr>
          <w:spacing w:val="1"/>
        </w:rPr>
        <w:t> </w:t>
      </w:r>
      <w:r>
        <w:rPr/>
        <w:t>occurrence of data quality issues and improve the accuracy of the underlying data used to drive business</w:t>
      </w:r>
      <w:r>
        <w:rPr>
          <w:spacing w:val="-54"/>
        </w:rPr>
        <w:t> </w:t>
      </w:r>
      <w:r>
        <w:rPr/>
        <w:t>decisions.</w:t>
      </w:r>
    </w:p>
    <w:p>
      <w:pPr>
        <w:pStyle w:val="Title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6" w:lineRule="auto" w:before="110" w:after="0"/>
        <w:ind w:left="820" w:right="269" w:hanging="360"/>
        <w:jc w:val="left"/>
      </w:pPr>
      <w:r>
        <w:rPr/>
        <w:t>Additional</w:t>
      </w:r>
      <w:r>
        <w:rPr>
          <w:spacing w:val="-3"/>
        </w:rPr>
        <w:t> </w:t>
      </w:r>
      <w:r>
        <w:rPr/>
        <w:t>customer_ids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‘Transactions</w:t>
      </w:r>
      <w:r>
        <w:rPr>
          <w:spacing w:val="-2"/>
        </w:rPr>
        <w:t> </w:t>
      </w:r>
      <w:r>
        <w:rPr/>
        <w:t>table’</w:t>
      </w:r>
      <w:r>
        <w:rPr>
          <w:spacing w:val="-14"/>
        </w:rPr>
        <w:t> </w:t>
      </w:r>
      <w:r>
        <w:rPr/>
        <w:t>and</w:t>
      </w:r>
      <w:r>
        <w:rPr>
          <w:spacing w:val="-3"/>
        </w:rPr>
        <w:t> </w:t>
      </w:r>
      <w:r>
        <w:rPr/>
        <w:t>‘Customer</w:t>
      </w:r>
      <w:r>
        <w:rPr>
          <w:spacing w:val="-1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table’</w:t>
      </w:r>
      <w:r>
        <w:rPr>
          <w:spacing w:val="-58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‘Customer Master (Customer Demographic)’</w:t>
      </w:r>
    </w:p>
    <w:p>
      <w:pPr>
        <w:spacing w:line="302" w:lineRule="auto" w:before="0"/>
        <w:ind w:left="820" w:right="276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Mitigation: Please ensure that all tables are from the same period. Only customers in the Customer Master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list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will be used as a training set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for our model.</w:t>
      </w:r>
    </w:p>
    <w:p>
      <w:pPr>
        <w:pStyle w:val="BodyText"/>
        <w:spacing w:line="210" w:lineRule="exact"/>
        <w:ind w:left="820"/>
      </w:pPr>
      <w:r>
        <w:rPr/>
        <w:t>This indicates that</w:t>
      </w:r>
      <w:r>
        <w:rPr>
          <w:spacing w:val="-1"/>
        </w:rPr>
        <w:t> </w:t>
      </w:r>
      <w:r>
        <w:rPr/>
        <w:t>the data received may not</w:t>
      </w:r>
      <w:r>
        <w:rPr>
          <w:spacing w:val="-1"/>
        </w:rPr>
        <w:t> </w:t>
      </w:r>
      <w:r>
        <w:rPr/>
        <w:t>be in sync with each other which may skew the</w:t>
      </w:r>
    </w:p>
    <w:p>
      <w:pPr>
        <w:pStyle w:val="BodyText"/>
        <w:spacing w:line="249" w:lineRule="auto" w:before="26"/>
        <w:ind w:left="820" w:right="121"/>
      </w:pPr>
      <w:r>
        <w:rPr/>
        <w:t>analysis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records.</w:t>
      </w:r>
      <w:r>
        <w:rPr>
          <w:spacing w:val="-2"/>
        </w:rPr>
        <w:t> </w:t>
      </w:r>
      <w:r>
        <w:rPr/>
        <w:t>Please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excel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‘data_outliers.xlsx’</w:t>
      </w:r>
      <w:r>
        <w:rPr>
          <w:spacing w:val="-9"/>
        </w:rPr>
        <w:t> </w:t>
      </w:r>
      <w:r>
        <w:rPr/>
        <w:t>for</w:t>
      </w:r>
      <w:r>
        <w:rPr>
          <w:spacing w:val="-52"/>
        </w:rPr>
        <w:t> </w:t>
      </w:r>
      <w:r>
        <w:rPr/>
        <w:t>the 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outliers between tables.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168" w:after="0"/>
        <w:ind w:left="820" w:right="778" w:hanging="360"/>
        <w:jc w:val="left"/>
      </w:pPr>
      <w:r>
        <w:rPr/>
        <w:t>Various</w:t>
      </w:r>
      <w:r>
        <w:rPr>
          <w:spacing w:val="-1"/>
        </w:rPr>
        <w:t> </w:t>
      </w:r>
      <w:r>
        <w:rPr/>
        <w:t>columns,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brand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purchase,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job</w:t>
      </w:r>
      <w:r>
        <w:rPr>
          <w:spacing w:val="-2"/>
        </w:rPr>
        <w:t> </w:t>
      </w:r>
      <w:r>
        <w:rPr/>
        <w:t>title,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53"/>
        </w:rPr>
        <w:t> </w:t>
      </w:r>
      <w:r>
        <w:rPr/>
        <w:t>certain</w:t>
      </w:r>
      <w:r>
        <w:rPr>
          <w:spacing w:val="-1"/>
        </w:rPr>
        <w:t> </w:t>
      </w:r>
      <w:r>
        <w:rPr/>
        <w:t>records</w:t>
      </w:r>
    </w:p>
    <w:p>
      <w:pPr>
        <w:spacing w:line="256" w:lineRule="auto" w:before="21"/>
        <w:ind w:left="820" w:right="526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18"/>
        </w:rPr>
        <w:t>Mitigation: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If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only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a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small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number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rows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are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empty,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filter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out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record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entirely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from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training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set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for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prediction.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Else,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if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it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is a core field,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impute based on distribution in the training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dataset</w:t>
      </w:r>
      <w:r>
        <w:rPr>
          <w:rFonts w:ascii="Arial"/>
          <w:i/>
          <w:sz w:val="20"/>
        </w:rPr>
        <w:t>.</w:t>
      </w:r>
    </w:p>
    <w:p>
      <w:pPr>
        <w:pStyle w:val="BodyText"/>
        <w:spacing w:line="271" w:lineRule="auto" w:before="13"/>
        <w:ind w:left="820" w:right="313"/>
      </w:pPr>
      <w:r>
        <w:rPr/>
        <w:t>For key datasets, such as transactions, less than 1% of transactions (totalling less than 0.1% of</w:t>
      </w:r>
      <w:r>
        <w:rPr>
          <w:spacing w:val="-54"/>
        </w:rPr>
        <w:t> </w:t>
      </w:r>
      <w:r>
        <w:rPr/>
        <w:t>revenue) have missing fields.</w:t>
      </w:r>
      <w:r>
        <w:rPr>
          <w:spacing w:val="-4"/>
        </w:rPr>
        <w:t> </w:t>
      </w:r>
      <w:r>
        <w:rPr/>
        <w:t>These records have been removed from the training dataset.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Inconsistent</w:t>
      </w:r>
      <w:r>
        <w:rPr>
          <w:spacing w:val="-1"/>
        </w:rPr>
        <w:t> </w:t>
      </w:r>
      <w:r>
        <w:rPr/>
        <w:t>values for the</w:t>
      </w:r>
      <w:r>
        <w:rPr>
          <w:spacing w:val="-1"/>
        </w:rPr>
        <w:t> </w:t>
      </w:r>
      <w:r>
        <w:rPr/>
        <w:t>same attribute</w:t>
      </w:r>
    </w:p>
    <w:p>
      <w:pPr>
        <w:spacing w:before="10"/>
        <w:ind w:left="82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(e.g.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Victoria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being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represented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“V”,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“Vic”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“Victoria”)</w:t>
      </w:r>
    </w:p>
    <w:p>
      <w:pPr>
        <w:spacing w:line="278" w:lineRule="auto" w:before="28"/>
        <w:ind w:left="820" w:right="465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Mitigation: Use regular expression to replaced extended values into abbreviations to ensure consistency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across addresses.</w:t>
      </w:r>
    </w:p>
    <w:p>
      <w:pPr>
        <w:spacing w:line="266" w:lineRule="auto" w:before="0"/>
        <w:ind w:left="820" w:right="563" w:firstLine="0"/>
        <w:jc w:val="left"/>
        <w:rPr>
          <w:sz w:val="20"/>
        </w:rPr>
      </w:pPr>
      <w:r>
        <w:rPr>
          <w:rFonts w:ascii="Arial" w:hAnsi="Arial"/>
          <w:i/>
          <w:sz w:val="18"/>
        </w:rPr>
        <w:t>Recommendation: Enforce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drop-down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list for</w:t>
      </w:r>
      <w:r>
        <w:rPr>
          <w:rFonts w:ascii="Arial" w:hAnsi="Arial"/>
          <w:i/>
          <w:spacing w:val="2"/>
          <w:sz w:val="18"/>
        </w:rPr>
        <w:t> </w:t>
      </w:r>
      <w:r>
        <w:rPr>
          <w:rFonts w:ascii="Arial" w:hAnsi="Arial"/>
          <w:i/>
          <w:sz w:val="18"/>
        </w:rPr>
        <w:t>the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user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entering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the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data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rather</w:t>
      </w:r>
      <w:r>
        <w:rPr>
          <w:rFonts w:ascii="Arial" w:hAnsi="Arial"/>
          <w:i/>
          <w:spacing w:val="2"/>
          <w:sz w:val="18"/>
        </w:rPr>
        <w:t> </w:t>
      </w:r>
      <w:r>
        <w:rPr>
          <w:rFonts w:ascii="Arial" w:hAnsi="Arial"/>
          <w:i/>
          <w:sz w:val="18"/>
        </w:rPr>
        <w:t>than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free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text field.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20"/>
        </w:rPr>
        <w:t>In order to construct meaningful variables for the model, the data has been cleaned to avoid</w:t>
      </w:r>
      <w:r>
        <w:rPr>
          <w:spacing w:val="1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representations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value.</w:t>
      </w:r>
      <w:r>
        <w:rPr>
          <w:spacing w:val="-14"/>
          <w:sz w:val="20"/>
        </w:rPr>
        <w:t> </w:t>
      </w:r>
      <w:r>
        <w:rPr>
          <w:sz w:val="20"/>
        </w:rPr>
        <w:t>Additionally,</w:t>
      </w:r>
      <w:r>
        <w:rPr>
          <w:spacing w:val="-3"/>
          <w:sz w:val="20"/>
        </w:rPr>
        <w:t> </w:t>
      </w:r>
      <w:r>
        <w:rPr>
          <w:sz w:val="20"/>
        </w:rPr>
        <w:t>gender</w:t>
      </w:r>
      <w:r>
        <w:rPr>
          <w:spacing w:val="-3"/>
          <w:sz w:val="20"/>
        </w:rPr>
        <w:t> </w:t>
      </w:r>
      <w:r>
        <w:rPr>
          <w:sz w:val="20"/>
        </w:rPr>
        <w:t>records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‘U’</w:t>
      </w:r>
      <w:r>
        <w:rPr>
          <w:spacing w:val="-10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52"/>
          <w:sz w:val="20"/>
        </w:rPr>
        <w:t> </w:t>
      </w:r>
      <w:r>
        <w:rPr>
          <w:sz w:val="20"/>
        </w:rPr>
        <w:t>replaced</w:t>
      </w:r>
      <w:r>
        <w:rPr>
          <w:spacing w:val="-1"/>
          <w:sz w:val="20"/>
        </w:rPr>
        <w:t> </w:t>
      </w:r>
      <w:r>
        <w:rPr>
          <w:sz w:val="20"/>
        </w:rPr>
        <w:t>based on the distribution from the training dataset.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Inconsistent</w:t>
      </w:r>
      <w:r>
        <w:rPr>
          <w:spacing w:val="-1"/>
        </w:rPr>
        <w:t> </w:t>
      </w:r>
      <w:r>
        <w:rPr/>
        <w:t>data type for</w:t>
      </w:r>
      <w:r>
        <w:rPr>
          <w:spacing w:val="-1"/>
        </w:rPr>
        <w:t> </w:t>
      </w:r>
      <w:r>
        <w:rPr/>
        <w:t>the sameattribute</w:t>
      </w:r>
    </w:p>
    <w:p>
      <w:pPr>
        <w:spacing w:before="30"/>
        <w:ind w:left="8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(e.g.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numeric values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for some fields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strings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for others)</w:t>
      </w:r>
    </w:p>
    <w:p>
      <w:pPr>
        <w:spacing w:line="302" w:lineRule="auto" w:before="9"/>
        <w:ind w:left="820" w:right="236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Mitigation: Convert selected records in characters to numeric. Remove non-numeric characters from string.</w:t>
      </w:r>
      <w:r>
        <w:rPr>
          <w:rFonts w:ascii="Arial"/>
          <w:i/>
          <w:spacing w:val="-48"/>
          <w:sz w:val="18"/>
        </w:rPr>
        <w:t> </w:t>
      </w:r>
      <w:r>
        <w:rPr>
          <w:rFonts w:ascii="Arial"/>
          <w:i/>
          <w:sz w:val="18"/>
        </w:rPr>
        <w:t>Recommendation: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Ensure that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fact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tables in the given database have constraints on data types.</w:t>
      </w:r>
    </w:p>
    <w:p>
      <w:pPr>
        <w:pStyle w:val="BodyText"/>
        <w:spacing w:line="190" w:lineRule="exact"/>
        <w:ind w:left="820"/>
      </w:pPr>
      <w:r>
        <w:rPr/>
        <w:t>Having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 for</w:t>
      </w:r>
      <w:r>
        <w:rPr>
          <w:spacing w:val="-1"/>
        </w:rPr>
        <w:t> </w:t>
      </w:r>
      <w:r>
        <w:rPr/>
        <w:t>a given</w:t>
      </w:r>
      <w:r>
        <w:rPr>
          <w:spacing w:val="-1"/>
        </w:rPr>
        <w:t> </w:t>
      </w:r>
      <w:r>
        <w:rPr/>
        <w:t>field make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 interpret</w:t>
      </w:r>
      <w:r>
        <w:rPr>
          <w:spacing w:val="-2"/>
        </w:rPr>
        <w:t> </w:t>
      </w:r>
      <w:r>
        <w:rPr/>
        <w:t>results at</w:t>
      </w:r>
      <w:r>
        <w:rPr>
          <w:spacing w:val="-2"/>
        </w:rPr>
        <w:t> </w:t>
      </w:r>
      <w:r>
        <w:rPr/>
        <w:t>the later</w:t>
      </w:r>
      <w:r>
        <w:rPr>
          <w:spacing w:val="-1"/>
        </w:rPr>
        <w:t> </w:t>
      </w:r>
      <w:r>
        <w:rPr/>
        <w:t>stage.</w:t>
      </w:r>
    </w:p>
    <w:p>
      <w:pPr>
        <w:pStyle w:val="BodyText"/>
        <w:spacing w:line="249" w:lineRule="auto" w:before="30"/>
        <w:ind w:left="820" w:right="157"/>
      </w:pPr>
      <w:r>
        <w:rPr/>
        <w:t>Therefore, appropriate data transformations are made to ensure consistent data types for a given</w:t>
      </w:r>
      <w:r>
        <w:rPr>
          <w:spacing w:val="-53"/>
        </w:rPr>
        <w:t> </w:t>
      </w:r>
      <w:r>
        <w:rPr/>
        <w:t>field.</w:t>
      </w:r>
    </w:p>
    <w:p>
      <w:pPr>
        <w:spacing w:after="0" w:line="249" w:lineRule="auto"/>
        <w:sectPr>
          <w:type w:val="continuous"/>
          <w:pgSz w:w="12240" w:h="15840"/>
          <w:pgMar w:top="0" w:bottom="280" w:left="1340" w:right="1320"/>
        </w:sectPr>
      </w:pPr>
    </w:p>
    <w:p>
      <w:pPr>
        <w:pStyle w:val="BodyText"/>
        <w:spacing w:line="256" w:lineRule="auto" w:before="72"/>
        <w:ind w:left="100" w:right="121"/>
      </w:pPr>
      <w:r>
        <w:rPr/>
        <w:t>Moving forward, the team will continue with the data cleaning, standardisation and transformation process</w:t>
      </w:r>
      <w:r>
        <w:rPr>
          <w:spacing w:val="-53"/>
        </w:rPr>
        <w:t> </w:t>
      </w:r>
      <w:r>
        <w:rPr/>
        <w:t>for the purpose of model analysis. Questions will be raised along the way and assumptions documented.</w:t>
      </w:r>
      <w:r>
        <w:rPr>
          <w:spacing w:val="1"/>
        </w:rPr>
        <w:t> </w:t>
      </w:r>
      <w:r>
        <w:rPr/>
        <w:t>After we have completed this, it would be great to spend some time with your data SME to ensure that all</w:t>
      </w:r>
      <w:r>
        <w:rPr>
          <w:spacing w:val="1"/>
        </w:rPr>
        <w:t> </w:t>
      </w:r>
      <w:r>
        <w:rPr/>
        <w:t>assumptions</w:t>
      </w:r>
      <w:r>
        <w:rPr>
          <w:spacing w:val="-1"/>
        </w:rPr>
        <w:t> </w:t>
      </w:r>
      <w:r>
        <w:rPr/>
        <w:t>are aligned with Sprocket</w:t>
      </w:r>
      <w:r>
        <w:rPr>
          <w:spacing w:val="-1"/>
        </w:rPr>
        <w:t> </w:t>
      </w:r>
      <w:r>
        <w:rPr/>
        <w:t>Central’s understanding.</w:t>
      </w:r>
    </w:p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Kind regards,</w:t>
      </w:r>
    </w:p>
    <w:p>
      <w:pPr>
        <w:pStyle w:val="BodyText"/>
        <w:spacing w:before="10"/>
        <w:ind w:left="100"/>
      </w:pPr>
      <w:r>
        <w:rPr/>
        <w:t>[Junior Consultant</w:t>
      </w:r>
      <w:r>
        <w:rPr>
          <w:spacing w:val="-1"/>
        </w:rPr>
        <w:t> </w:t>
      </w:r>
      <w:r>
        <w:rPr/>
        <w:t>Name]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36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820" w:right="269" w:hanging="36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7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2023-01-06T23:29:30Z</dcterms:created>
  <dcterms:modified xsi:type="dcterms:W3CDTF">2023-01-06T23:29:30Z</dcterms:modified>
</cp:coreProperties>
</file>