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2622D"/>
          <w:spacing w:val="60"/>
          <w:sz w:val="22"/>
          <w:szCs w:val="22"/>
        </w:rPr>
        <w:t xml:space="preserve">NUTRIBRICK</w:t>
      </w:r>
    </w:p>
    <w:p>
      <w:pPr>
        <w:spacing w:after="100"/>
      </w:pPr>
      <w:r>
        <w:rPr>
          <w:rFonts w:ascii="Calibri" w:cs="Calibri" w:eastAsia="Calibri" w:hAnsi="Calibri"/>
          <w:b/>
          <w:bCs/>
          <w:color w:val="402310"/>
          <w:sz w:val="52"/>
          <w:szCs w:val="52"/>
        </w:rPr>
        <w:t xml:space="preserve">Presentation script</w:t>
      </w:r>
    </w:p>
    <w:p>
      <w:pPr>
        <w:spacing w:after="60"/>
      </w:pPr>
      <w:r>
        <w:rPr>
          <w:rFonts w:ascii="Calibri" w:cs="Calibri" w:eastAsia="Calibri" w:hAnsi="Calibri"/>
          <w:color w:val="645C50"/>
          <w:sz w:val="21"/>
          <w:szCs w:val="21"/>
        </w:rPr>
        <w:t xml:space="preserve">416 spoken words  ·  2:36 brisk  ·  2:52 normal  ·  3:12 measured</w:t>
      </w:r>
    </w:p>
    <w:p>
      <w:pPr>
        <w:spacing w:after="120"/>
      </w:pPr>
      <w:r>
        <w:rPr>
          <w:rFonts w:ascii="Calibri" w:cs="Calibri" w:eastAsia="Calibri" w:hAnsi="Calibri"/>
          <w:i/>
          <w:iCs/>
          <w:color w:val="645C50"/>
          <w:sz w:val="21"/>
          <w:szCs w:val="21"/>
        </w:rPr>
        <w:t xml:space="preserve">Shaded bands are screen cues — what to have showing, not words to say. Green-barred lines are the beats to land: pause after each.</w:t>
      </w:r>
    </w:p>
    <w:p>
      <w:pPr>
        <w:pBdr>
          <w:bottom w:val="single" w:color="D8C9B2" w:sz="8" w:space="6"/>
        </w:pBdr>
        <w:spacing w:after="240" w:before="120"/>
      </w:pP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Hero — the 3D brick turning ]</w:t>
      </w:r>
    </w:p>
    <w:p>
      <w:pPr>
        <w:spacing w:after="200" w:line="340"/>
      </w:pPr>
      <w:r>
        <w:rPr>
          <w:rFonts w:ascii="Calibri" w:cs="Calibri" w:eastAsia="Calibri" w:hAnsi="Calibri"/>
          <w:color w:val="2E2B25"/>
          <w:sz w:val="26"/>
          <w:szCs w:val="26"/>
        </w:rPr>
        <w:t xml:space="preserve">Most Australian kids aren't eating enough of what they need. Our research found over a million children in Australia are unhealthy, and that </w:t>
      </w:r>
      <w:r>
        <w:rPr>
          <w:rFonts w:ascii="Calibri" w:cs="Calibri" w:eastAsia="Calibri" w:hAnsi="Calibri"/>
          <w:b/>
          <w:bCs/>
          <w:color w:val="402310"/>
          <w:sz w:val="26"/>
          <w:szCs w:val="26"/>
        </w:rPr>
        <w:t xml:space="preserve">ninety-five percent</w:t>
      </w:r>
      <w:r>
        <w:rPr>
          <w:rFonts w:ascii="Calibri" w:cs="Calibri" w:eastAsia="Calibri" w:hAnsi="Calibri"/>
          <w:color w:val="2E2B25"/>
          <w:sz w:val="26"/>
          <w:szCs w:val="26"/>
        </w:rPr>
        <w:t xml:space="preserve"> aren't meeting their daily macronutrient targets.</w:t>
      </w:r>
    </w:p>
    <w:p>
      <w:pPr>
        <w:spacing w:after="200" w:line="340"/>
      </w:pPr>
      <w:r>
        <w:rPr>
          <w:rFonts w:ascii="Calibri" w:cs="Calibri" w:eastAsia="Calibri" w:hAnsi="Calibri"/>
          <w:color w:val="2E2B25"/>
          <w:sz w:val="26"/>
          <w:szCs w:val="26"/>
        </w:rPr>
        <w:t xml:space="preserve">But if you've ever tried to get a six-year-old to finish their vegetables, you know the real problem isn't information. Parents already know what's healthy.</w:t>
      </w: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Scroll: “Dinner should not be a negotiation” ]</w:t>
      </w:r>
    </w:p>
    <w:p>
      <w:pPr>
        <w:spacing w:after="200" w:line="340"/>
      </w:pPr>
      <w:r>
        <w:rPr>
          <w:rFonts w:ascii="Calibri" w:cs="Calibri" w:eastAsia="Calibri" w:hAnsi="Calibri"/>
          <w:color w:val="2E2B25"/>
          <w:sz w:val="26"/>
          <w:szCs w:val="26"/>
        </w:rPr>
        <w:t xml:space="preserve">Dinner is a negotiation. The snack goes in the bin untouched. Something sweet gets traded in. Nobody wins, and tomorrow you do it again.</w:t>
      </w:r>
    </w:p>
    <w:p>
      <w:pPr>
        <w:pBdr>
          <w:left w:val="single" w:color="728157" w:sz="12" w:space="10"/>
        </w:pBdr>
        <w:spacing w:after="240" w:before="120" w:line="340"/>
        <w:ind w:left="240"/>
      </w:pPr>
      <w:r>
        <w:rPr>
          <w:rFonts w:ascii="Calibri" w:cs="Calibri" w:eastAsia="Calibri" w:hAnsi="Calibri"/>
          <w:b/>
          <w:bCs/>
          <w:color w:val="402310"/>
          <w:sz w:val="28"/>
          <w:szCs w:val="28"/>
        </w:rPr>
        <w:t xml:space="preserve">Nagging is not a nutrition plan.</w:t>
      </w: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Scroll: “Build it. Stack it. Eat it.” — let the tower render ]</w:t>
      </w:r>
    </w:p>
    <w:p>
      <w:pPr>
        <w:spacing w:after="200" w:line="340"/>
      </w:pPr>
      <w:r>
        <w:rPr>
          <w:rFonts w:ascii="Calibri" w:cs="Calibri" w:eastAsia="Calibri" w:hAnsi="Calibri"/>
          <w:color w:val="2E2B25"/>
          <w:sz w:val="26"/>
          <w:szCs w:val="26"/>
        </w:rPr>
        <w:t xml:space="preserve">So we made this. NutriBrick — a food bite the size of a building brick, with studs that actually interlock. Kids build a tower.</w:t>
      </w:r>
    </w:p>
    <w:p>
      <w:pPr>
        <w:pBdr>
          <w:left w:val="single" w:color="728157" w:sz="12" w:space="10"/>
        </w:pBdr>
        <w:spacing w:after="240" w:before="120" w:line="340"/>
        <w:ind w:left="240"/>
      </w:pPr>
      <w:r>
        <w:rPr>
          <w:rFonts w:ascii="Calibri" w:cs="Calibri" w:eastAsia="Calibri" w:hAnsi="Calibri"/>
          <w:b/>
          <w:bCs/>
          <w:color w:val="402310"/>
          <w:sz w:val="28"/>
          <w:szCs w:val="28"/>
        </w:rPr>
        <w:t xml:space="preserve">Then they eat the tower.</w:t>
      </w: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Scroll: “Don’t play with your food.” ]</w:t>
      </w:r>
    </w:p>
    <w:p>
      <w:pPr>
        <w:spacing w:after="200" w:line="340"/>
      </w:pPr>
      <w:r>
        <w:rPr>
          <w:rFonts w:ascii="Calibri" w:cs="Calibri" w:eastAsia="Calibri" w:hAnsi="Calibri"/>
          <w:color w:val="2E2B25"/>
          <w:sz w:val="26"/>
          <w:szCs w:val="26"/>
        </w:rPr>
        <w:t xml:space="preserve">Now, every parent here has said the same sentence to a child: </w:t>
      </w:r>
      <w:r>
        <w:rPr>
          <w:rFonts w:ascii="Calibri" w:cs="Calibri" w:eastAsia="Calibri" w:hAnsi="Calibri"/>
          <w:i/>
          <w:iCs/>
          <w:color w:val="2E2B25"/>
          <w:sz w:val="26"/>
          <w:szCs w:val="26"/>
        </w:rPr>
        <w:t xml:space="preserve">don't play with your food.</w:t>
      </w:r>
      <w:r>
        <w:rPr>
          <w:rFonts w:ascii="Calibri" w:cs="Calibri" w:eastAsia="Calibri" w:hAnsi="Calibri"/>
          <w:color w:val="2E2B25"/>
          <w:sz w:val="26"/>
          <w:szCs w:val="26"/>
        </w:rPr>
        <w:t xml:space="preserve"/>
      </w:r>
    </w:p>
    <w:p>
      <w:pPr>
        <w:spacing w:after="200" w:line="340"/>
      </w:pPr>
      <w:r>
        <w:rPr>
          <w:rFonts w:ascii="Calibri" w:cs="Calibri" w:eastAsia="Calibri" w:hAnsi="Calibri"/>
          <w:color w:val="2E2B25"/>
          <w:sz w:val="26"/>
          <w:szCs w:val="26"/>
        </w:rPr>
        <w:t xml:space="preserve">And it's a fair rule. It exists because playing with food normally means wasting it — mashing it, hiding it, dropping it on the floor.</w:t>
      </w:r>
    </w:p>
    <w:p>
      <w:pPr>
        <w:spacing w:after="200" w:line="340"/>
      </w:pPr>
      <w:r>
        <w:rPr>
          <w:rFonts w:ascii="Calibri" w:cs="Calibri" w:eastAsia="Calibri" w:hAnsi="Calibri"/>
          <w:color w:val="2E2B25"/>
          <w:sz w:val="26"/>
          <w:szCs w:val="26"/>
        </w:rPr>
        <w:t xml:space="preserve">So we flipped it. With NutriBrick, playing with it is exactly how it gets eaten. The building </w:t>
      </w:r>
      <w:r>
        <w:rPr>
          <w:rFonts w:ascii="Calibri" w:cs="Calibri" w:eastAsia="Calibri" w:hAnsi="Calibri"/>
          <w:i/>
          <w:iCs/>
          <w:color w:val="2E2B25"/>
          <w:sz w:val="26"/>
          <w:szCs w:val="26"/>
        </w:rPr>
        <w:t xml:space="preserve">is</w:t>
      </w:r>
      <w:r>
        <w:rPr>
          <w:rFonts w:ascii="Calibri" w:cs="Calibri" w:eastAsia="Calibri" w:hAnsi="Calibri"/>
          <w:color w:val="2E2B25"/>
          <w:sz w:val="26"/>
          <w:szCs w:val="26"/>
        </w:rPr>
        <w:t xml:space="preserve"> the eating.</w:t>
      </w:r>
    </w:p>
    <w:p>
      <w:pPr>
        <w:pBdr>
          <w:left w:val="single" w:color="728157" w:sz="12" w:space="10"/>
        </w:pBdr>
        <w:spacing w:after="240" w:before="120" w:line="340"/>
        <w:ind w:left="240"/>
      </w:pPr>
      <w:r>
        <w:rPr>
          <w:rFonts w:ascii="Calibri" w:cs="Calibri" w:eastAsia="Calibri" w:hAnsi="Calibri"/>
          <w:b/>
          <w:bCs/>
          <w:color w:val="402310"/>
          <w:sz w:val="28"/>
          <w:szCs w:val="28"/>
        </w:rPr>
        <w:t xml:space="preserve">Same instinct, opposite outcome.</w:t>
      </w: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Scroll: “The snack aisle, honestly compared” ]</w:t>
      </w:r>
    </w:p>
    <w:p>
      <w:pPr>
        <w:spacing w:after="200" w:line="340"/>
      </w:pPr>
      <w:r>
        <w:rPr>
          <w:rFonts w:ascii="Calibri" w:cs="Calibri" w:eastAsia="Calibri" w:hAnsi="Calibri"/>
          <w:color w:val="2E2B25"/>
          <w:sz w:val="26"/>
          <w:szCs w:val="26"/>
        </w:rPr>
        <w:t xml:space="preserve">Nothing else on the shelf does that. Frozen meals need a freezer and twelve minutes you don't have. Pouches hide the nutrition where nobody can see it. And novelty block lollies get the fun right and the inside wrong — it's sugar.</w:t>
      </w:r>
    </w:p>
    <w:p>
      <w:pPr>
        <w:spacing w:after="200" w:line="340"/>
      </w:pPr>
      <w:r>
        <w:rPr>
          <w:rFonts w:ascii="Calibri" w:cs="Calibri" w:eastAsia="Calibri" w:hAnsi="Calibri"/>
          <w:color w:val="2E2B25"/>
          <w:sz w:val="26"/>
          <w:szCs w:val="26"/>
        </w:rPr>
        <w:t xml:space="preserve">We're the only one putting play and nutrition in the same bite.</w:t>
      </w: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Scroll: “One brick. 45g. Here is all of it.” ]</w:t>
      </w:r>
    </w:p>
    <w:p>
      <w:pPr>
        <w:spacing w:after="200" w:line="340"/>
      </w:pPr>
      <w:r>
        <w:rPr>
          <w:rFonts w:ascii="Calibri" w:cs="Calibri" w:eastAsia="Calibri" w:hAnsi="Calibri"/>
          <w:color w:val="2E2B25"/>
          <w:sz w:val="26"/>
          <w:szCs w:val="26"/>
        </w:rPr>
        <w:t xml:space="preserve">And we're not hiding anything. One brick is forty-five grams — </w:t>
      </w:r>
      <w:r>
        <w:rPr>
          <w:rFonts w:ascii="Calibri" w:cs="Calibri" w:eastAsia="Calibri" w:hAnsi="Calibri"/>
          <w:b/>
          <w:bCs/>
          <w:color w:val="402310"/>
          <w:sz w:val="26"/>
          <w:szCs w:val="26"/>
        </w:rPr>
        <w:t xml:space="preserve">two hundred and three calories</w:t>
      </w:r>
      <w:r>
        <w:rPr>
          <w:rFonts w:ascii="Calibri" w:cs="Calibri" w:eastAsia="Calibri" w:hAnsi="Calibri"/>
          <w:color w:val="2E2B25"/>
          <w:sz w:val="26"/>
          <w:szCs w:val="26"/>
        </w:rPr>
        <w:t xml:space="preserve">, </w:t>
      </w:r>
      <w:r>
        <w:rPr>
          <w:rFonts w:ascii="Calibri" w:cs="Calibri" w:eastAsia="Calibri" w:hAnsi="Calibri"/>
          <w:b/>
          <w:bCs/>
          <w:color w:val="402310"/>
          <w:sz w:val="26"/>
          <w:szCs w:val="26"/>
        </w:rPr>
        <w:t xml:space="preserve">thirteen grams of protein</w:t>
      </w:r>
      <w:r>
        <w:rPr>
          <w:rFonts w:ascii="Calibri" w:cs="Calibri" w:eastAsia="Calibri" w:hAnsi="Calibri"/>
          <w:color w:val="2E2B25"/>
          <w:sz w:val="26"/>
          <w:szCs w:val="26"/>
        </w:rPr>
        <w:t xml:space="preserve">, four grams of fibre, and a full day of vitamins C, A and D.</w:t>
      </w:r>
    </w:p>
    <w:p>
      <w:pPr>
        <w:spacing w:after="200" w:line="340"/>
      </w:pPr>
      <w:r>
        <w:rPr>
          <w:rFonts w:ascii="Calibri" w:cs="Calibri" w:eastAsia="Calibri" w:hAnsi="Calibri"/>
          <w:color w:val="2E2B25"/>
          <w:sz w:val="26"/>
          <w:szCs w:val="26"/>
        </w:rPr>
        <w:t xml:space="preserve">Seven ingredients: oats, sunflower seed butter, milk protein, dates, chia and flaxseed, cocoa and cinnamon. Nut-free, so it clears the school gate. No gelatine, no refined sugar, no artificial colours.</w:t>
      </w: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Scroll: pricing — the seven day-bricks ]</w:t>
      </w:r>
    </w:p>
    <w:p>
      <w:pPr>
        <w:spacing w:after="200" w:line="340"/>
      </w:pPr>
      <w:r>
        <w:rPr>
          <w:rFonts w:ascii="Calibri" w:cs="Calibri" w:eastAsia="Calibri" w:hAnsi="Calibri"/>
          <w:color w:val="2E2B25"/>
          <w:sz w:val="26"/>
          <w:szCs w:val="26"/>
        </w:rPr>
        <w:t xml:space="preserve">Two dollars a brick, sold as a pack of seven. One for each day of the week — fourteen dollars.</w:t>
      </w:r>
    </w:p>
    <w:p>
      <w:pPr>
        <w:spacing w:after="200" w:line="340"/>
      </w:pPr>
      <w:r>
        <w:rPr>
          <w:rFonts w:ascii="Calibri" w:cs="Calibri" w:eastAsia="Calibri" w:hAnsi="Calibri"/>
          <w:color w:val="2E2B25"/>
          <w:sz w:val="26"/>
          <w:szCs w:val="26"/>
        </w:rPr>
        <w:t xml:space="preserve">And every pack comes with </w:t>
      </w:r>
      <w:r>
        <w:rPr>
          <w:rFonts w:ascii="Calibri" w:cs="Calibri" w:eastAsia="Calibri" w:hAnsi="Calibri"/>
          <w:b/>
          <w:bCs/>
          <w:color w:val="402310"/>
          <w:sz w:val="26"/>
          <w:szCs w:val="26"/>
        </w:rPr>
        <w:t xml:space="preserve">plans for a new build</w:t>
      </w:r>
      <w:r>
        <w:rPr>
          <w:rFonts w:ascii="Calibri" w:cs="Calibri" w:eastAsia="Calibri" w:hAnsi="Calibri"/>
          <w:color w:val="2E2B25"/>
          <w:sz w:val="26"/>
          <w:szCs w:val="26"/>
        </w:rPr>
        <w:t xml:space="preserve">. A different design each time, so it isn't seven snacks — it's seven snacks and something to make.</w:t>
      </w:r>
    </w:p>
    <w:p>
      <w:pPr>
        <w:pBdr>
          <w:left w:val="single" w:color="B2622D" w:sz="18" w:space="8"/>
        </w:pBdr>
        <w:shd w:fill="F1E7D8" w:val="clear"/>
        <w:spacing w:after="160" w:before="300"/>
        <w:ind w:left="120" w:right="120"/>
      </w:pPr>
      <w:r>
        <w:rPr>
          <w:rFonts w:ascii="Calibri" w:cs="Calibri" w:eastAsia="Calibri" w:hAnsi="Calibri"/>
          <w:b/>
          <w:bCs/>
          <w:caps w:val="false"/>
          <w:color w:val="402310"/>
          <w:spacing w:val="12"/>
          <w:sz w:val="21"/>
          <w:szCs w:val="21"/>
        </w:rPr>
        <w:t xml:space="preserve">[ Scroll: “A Year 10 idea, built properly” ]</w:t>
      </w:r>
    </w:p>
    <w:p>
      <w:pPr>
        <w:spacing w:after="200" w:line="340"/>
      </w:pPr>
      <w:r>
        <w:rPr>
          <w:rFonts w:ascii="Calibri" w:cs="Calibri" w:eastAsia="Calibri" w:hAnsi="Calibri"/>
          <w:color w:val="2E2B25"/>
          <w:sz w:val="26"/>
          <w:szCs w:val="26"/>
        </w:rPr>
        <w:t xml:space="preserve">We're a Year 10 team, and NutriBrick is still a concept — this site is the pitch for it.</w:t>
      </w:r>
    </w:p>
    <w:p>
      <w:pPr>
        <w:spacing w:after="200" w:line="340"/>
      </w:pPr>
      <w:r>
        <w:rPr>
          <w:rFonts w:ascii="Calibri" w:cs="Calibri" w:eastAsia="Calibri" w:hAnsi="Calibri"/>
          <w:color w:val="2E2B25"/>
          <w:sz w:val="26"/>
          <w:szCs w:val="26"/>
        </w:rPr>
        <w:t xml:space="preserve">But the insight is simple, and we think it's right. Kids already decide what they'll eat by how it looks and how it feels in their hands. Every other healthy snack asks them to ignore that instinct.</w:t>
      </w:r>
    </w:p>
    <w:p>
      <w:pPr>
        <w:spacing w:after="200" w:line="340"/>
      </w:pPr>
      <w:r>
        <w:rPr>
          <w:rFonts w:ascii="Calibri" w:cs="Calibri" w:eastAsia="Calibri" w:hAnsi="Calibri"/>
          <w:color w:val="2E2B25"/>
          <w:sz w:val="26"/>
          <w:szCs w:val="26"/>
        </w:rPr>
        <w:t xml:space="preserve">We built for it instead.</w:t>
      </w:r>
    </w:p>
    <w:p>
      <w:pPr>
        <w:pBdr>
          <w:left w:val="single" w:color="728157" w:sz="12" w:space="10"/>
        </w:pBdr>
        <w:spacing w:after="240" w:before="120" w:line="340"/>
        <w:ind w:left="240"/>
      </w:pPr>
      <w:r>
        <w:rPr>
          <w:rFonts w:ascii="Calibri" w:cs="Calibri" w:eastAsia="Calibri" w:hAnsi="Calibri"/>
          <w:b/>
          <w:bCs/>
          <w:color w:val="402310"/>
          <w:sz w:val="28"/>
          <w:szCs w:val="28"/>
        </w:rPr>
        <w:t xml:space="preserve">Make the healthy thing the fun thing, and you don’t have to negotiate.</w:t>
      </w:r>
    </w:p>
    <w:p>
      <w:pPr>
        <w:spacing w:after="200" w:line="340"/>
      </w:pPr>
      <w:r>
        <w:rPr>
          <w:rFonts w:ascii="Calibri" w:cs="Calibri" w:eastAsia="Calibri" w:hAnsi="Calibri"/>
          <w:color w:val="2E2B25"/>
          <w:sz w:val="26"/>
          <w:szCs w:val="26"/>
        </w:rPr>
        <w:t xml:space="preserve">Thank you.</w:t>
      </w:r>
    </w:p>
    <w:p>
      <w:pPr>
        <w:pageBreakBefore/>
      </w:pPr>
    </w:p>
    <w:p>
      <w:pPr>
        <w:spacing w:after="200"/>
      </w:pPr>
      <w:r>
        <w:rPr>
          <w:rFonts w:ascii="Calibri" w:cs="Calibri" w:eastAsia="Calibri" w:hAnsi="Calibri"/>
          <w:b/>
          <w:bCs/>
          <w:color w:val="402310"/>
          <w:sz w:val="40"/>
          <w:szCs w:val="40"/>
        </w:rPr>
        <w:t xml:space="preserve">Delivery notes</w:t>
      </w:r>
    </w:p>
    <w:p>
      <w:pPr>
        <w:pStyle w:val="ListParagraph"/>
        <w:numPr>
          <w:ilvl w:val="0"/>
          <w:numId w:val="2"/>
        </w:numPr>
        <w:spacing w:after="160" w:line="300"/>
      </w:pPr>
      <w:r>
        <w:rPr>
          <w:rFonts w:ascii="Calibri" w:cs="Calibri" w:eastAsia="Calibri" w:hAnsi="Calibri"/>
          <w:b/>
          <w:bCs/>
          <w:color w:val="402310"/>
          <w:sz w:val="22"/>
          <w:szCs w:val="22"/>
        </w:rPr>
        <w:t xml:space="preserve">Land the four beats. </w:t>
      </w:r>
      <w:r>
        <w:rPr>
          <w:rFonts w:ascii="Calibri" w:cs="Calibri" w:eastAsia="Calibri" w:hAnsi="Calibri"/>
          <w:color w:val="2E2B25"/>
          <w:sz w:val="22"/>
          <w:szCs w:val="22"/>
        </w:rPr>
        <w:t xml:space="preserve">“Nagging is not a nutrition plan,” “then they eat the tower,” “same instinct, opposite outcome,” and “make the healthy thing the fun thing.” Pause after each one.</w:t>
      </w:r>
    </w:p>
    <w:p>
      <w:pPr>
        <w:pStyle w:val="ListParagraph"/>
        <w:numPr>
          <w:ilvl w:val="0"/>
          <w:numId w:val="2"/>
        </w:numPr>
        <w:spacing w:after="160" w:line="300"/>
      </w:pPr>
      <w:r>
        <w:rPr>
          <w:rFonts w:ascii="Calibri" w:cs="Calibri" w:eastAsia="Calibri" w:hAnsi="Calibri"/>
          <w:b/>
          <w:bCs/>
          <w:color w:val="402310"/>
          <w:sz w:val="22"/>
          <w:szCs w:val="22"/>
        </w:rPr>
        <w:t xml:space="preserve">The flip is your best thirty seconds. </w:t>
      </w:r>
      <w:r>
        <w:rPr>
          <w:rFonts w:ascii="Calibri" w:cs="Calibri" w:eastAsia="Calibri" w:hAnsi="Calibri"/>
          <w:color w:val="2E2B25"/>
          <w:sz w:val="22"/>
          <w:szCs w:val="22"/>
        </w:rPr>
        <w:t xml:space="preserve">Deliver “don’t play with your food” as the rule everyone in the room agrees with — get them nodding — then turn it. Don’t rush from the setup to the punchline.</w:t>
      </w:r>
    </w:p>
    <w:p>
      <w:pPr>
        <w:pStyle w:val="ListParagraph"/>
        <w:numPr>
          <w:ilvl w:val="0"/>
          <w:numId w:val="2"/>
        </w:numPr>
        <w:spacing w:after="160" w:line="300"/>
      </w:pPr>
      <w:r>
        <w:rPr>
          <w:rFonts w:ascii="Calibri" w:cs="Calibri" w:eastAsia="Calibri" w:hAnsi="Calibri"/>
          <w:b/>
          <w:bCs/>
          <w:color w:val="402310"/>
          <w:sz w:val="22"/>
          <w:szCs w:val="22"/>
        </w:rPr>
        <w:t xml:space="preserve">Let the 3D brick do the work. </w:t>
      </w:r>
      <w:r>
        <w:rPr>
          <w:rFonts w:ascii="Calibri" w:cs="Calibri" w:eastAsia="Calibri" w:hAnsi="Calibri"/>
          <w:color w:val="2E2B25"/>
          <w:sz w:val="22"/>
          <w:szCs w:val="22"/>
        </w:rPr>
        <w:t xml:space="preserve">After “So we made this,” stop talking for a beat and let them look at it.</w:t>
      </w:r>
    </w:p>
    <w:p>
      <w:pPr>
        <w:pStyle w:val="ListParagraph"/>
        <w:numPr>
          <w:ilvl w:val="0"/>
          <w:numId w:val="2"/>
        </w:numPr>
        <w:spacing w:after="160" w:line="300"/>
      </w:pPr>
      <w:r>
        <w:rPr>
          <w:rFonts w:ascii="Calibri" w:cs="Calibri" w:eastAsia="Calibri" w:hAnsi="Calibri"/>
          <w:b/>
          <w:bCs/>
          <w:color w:val="402310"/>
          <w:sz w:val="22"/>
          <w:szCs w:val="22"/>
        </w:rPr>
        <w:t xml:space="preserve">Say “building brick”, not “LEGO”. </w:t>
      </w:r>
      <w:r>
        <w:rPr>
          <w:rFonts w:ascii="Calibri" w:cs="Calibri" w:eastAsia="Calibri" w:hAnsi="Calibri"/>
          <w:color w:val="2E2B25"/>
          <w:sz w:val="22"/>
          <w:szCs w:val="22"/>
        </w:rPr>
        <w:t xml:space="preserve">LEGO and Duplo are trademarks. The site says “building brick” and uses “Duplo-brick-sized” only as a size reference; in a spoken pitch “building brick” is safer and sounds no weaker.</w:t>
      </w:r>
    </w:p>
    <w:p>
      <w:pPr>
        <w:pStyle w:val="ListParagraph"/>
        <w:numPr>
          <w:ilvl w:val="0"/>
          <w:numId w:val="2"/>
        </w:numPr>
        <w:spacing w:after="160" w:line="300"/>
      </w:pPr>
      <w:r>
        <w:rPr>
          <w:rFonts w:ascii="Calibri" w:cs="Calibri" w:eastAsia="Calibri" w:hAnsi="Calibri"/>
          <w:b/>
          <w:bCs/>
          <w:color w:val="402310"/>
          <w:sz w:val="22"/>
          <w:szCs w:val="22"/>
        </w:rPr>
        <w:t xml:space="preserve">Check the 95% figure before you present. </w:t>
      </w:r>
      <w:r>
        <w:rPr>
          <w:rFonts w:ascii="Calibri" w:cs="Calibri" w:eastAsia="Calibri" w:hAnsi="Calibri"/>
          <w:color w:val="2E2B25"/>
          <w:sz w:val="22"/>
          <w:szCs w:val="22"/>
        </w:rPr>
        <w:t xml:space="preserve">It is the claim a judge is most likely to question, and the one that could not be verified for you — have the source ready, or soften it to “most children aren’t meeting their targets”.</w:t>
      </w:r>
    </w:p>
    <w:p>
      <w:pPr>
        <w:pStyle w:val="ListParagraph"/>
        <w:numPr>
          <w:ilvl w:val="0"/>
          <w:numId w:val="2"/>
        </w:numPr>
        <w:spacing w:after="160" w:line="300"/>
      </w:pPr>
      <w:r>
        <w:rPr>
          <w:rFonts w:ascii="Calibri" w:cs="Calibri" w:eastAsia="Calibri" w:hAnsi="Calibri"/>
          <w:b/>
          <w:bCs/>
          <w:color w:val="402310"/>
          <w:sz w:val="22"/>
          <w:szCs w:val="22"/>
        </w:rPr>
        <w:t xml:space="preserve">If you’re over time, </w:t>
      </w:r>
      <w:r>
        <w:rPr>
          <w:rFonts w:ascii="Calibri" w:cs="Calibri" w:eastAsia="Calibri" w:hAnsi="Calibri"/>
          <w:color w:val="2E2B25"/>
          <w:sz w:val="22"/>
          <w:szCs w:val="22"/>
        </w:rPr>
        <w:t xml:space="preserve">cut the snack-aisle comparison (53 words, about 22 seconds). Never cut the flip.</w:t>
      </w:r>
    </w:p>
    <w:p>
      <w:pPr>
        <w:pStyle w:val="ListParagraph"/>
        <w:numPr>
          <w:ilvl w:val="0"/>
          <w:numId w:val="2"/>
        </w:numPr>
        <w:spacing w:after="160" w:line="300"/>
      </w:pPr>
      <w:r>
        <w:rPr>
          <w:rFonts w:ascii="Calibri" w:cs="Calibri" w:eastAsia="Calibri" w:hAnsi="Calibri"/>
          <w:b/>
          <w:bCs/>
          <w:color w:val="402310"/>
          <w:sz w:val="22"/>
          <w:szCs w:val="22"/>
        </w:rPr>
        <w:t xml:space="preserve">Likely question — “is it actually a product?” </w:t>
      </w:r>
      <w:r>
        <w:rPr>
          <w:rFonts w:ascii="Calibri" w:cs="Calibri" w:eastAsia="Calibri" w:hAnsi="Calibri"/>
          <w:color w:val="2E2B25"/>
          <w:sz w:val="22"/>
          <w:szCs w:val="22"/>
        </w:rPr>
        <w:t xml:space="preserve">Answer plainly: it is a concept, the nutrition figures are formulation targets, and the site is the pitch. Saying it before you are asked is stronger than being caught on it.</w:t>
      </w:r>
    </w:p>
    <w:p>
      <w:pPr>
        <w:pStyle w:val="ListParagraph"/>
        <w:numPr>
          <w:ilvl w:val="0"/>
          <w:numId w:val="2"/>
        </w:numPr>
        <w:spacing w:after="160" w:line="300"/>
      </w:pPr>
      <w:r>
        <w:rPr>
          <w:rFonts w:ascii="Calibri" w:cs="Calibri" w:eastAsia="Calibri" w:hAnsi="Calibri"/>
          <w:b/>
          <w:bCs/>
          <w:color w:val="402310"/>
          <w:sz w:val="22"/>
          <w:szCs w:val="22"/>
        </w:rPr>
        <w:t xml:space="preserve">Likely question — “what are the build plans?” </w:t>
      </w:r>
      <w:r>
        <w:rPr>
          <w:rFonts w:ascii="Calibri" w:cs="Calibri" w:eastAsia="Calibri" w:hAnsi="Calibri"/>
          <w:color w:val="2E2B25"/>
          <w:sz w:val="22"/>
          <w:szCs w:val="22"/>
        </w:rPr>
        <w:t xml:space="preserve">A card in each pack with a design to make from the seven bricks, different every pack. It is the repeat-purchase hook, so have one sentence ready on why that matters commercially.</w:t>
      </w:r>
    </w:p>
    <w:p>
      <w:pPr>
        <w:pBdr>
          <w:bottom w:val="single" w:color="D8C9B2" w:sz="8" w:space="6"/>
        </w:pBdr>
        <w:spacing w:after="240" w:before="120"/>
      </w:pPr>
    </w:p>
    <w:p>
      <w:r>
        <w:rPr>
          <w:rFonts w:ascii="Calibri" w:cs="Calibri" w:eastAsia="Calibri" w:hAnsi="Calibri"/>
          <w:i/>
          <w:iCs/>
          <w:color w:val="645C50"/>
          <w:sz w:val="20"/>
          <w:szCs w:val="20"/>
        </w:rPr>
        <w:t xml:space="preserve">Timing: 416 spoken words — 3:12 at a measured 130 wpm, 2:52 at 145, 2:36 at a brisk 160.</w:t>
      </w:r>
    </w:p>
    <w:sectPr>
      <w:footerReference w:type="default" r:id="rId7"/>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5C50"/>
        <w:sz w:val="18"/>
        <w:szCs w:val="18"/>
      </w:rPr>
      <w:t xml:space="preserve">NutriBrick pitch  —  </w:t>
    </w:r>
    <w:r>
      <w:rPr>
        <w:rFonts w:ascii="Calibri" w:cs="Calibri" w:eastAsia="Calibri" w:hAnsi="Calibri"/>
        <w:color w:val="645C5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2026-09-01T03:17:11.174Z</dcterms:created>
  <dcterms:modified xsi:type="dcterms:W3CDTF">2026-09-01T03:17:11.174Z</dcterms:modified>
</cp:coreProperties>
</file>

<file path=docProps/custom.xml><?xml version="1.0" encoding="utf-8"?>
<Properties xmlns="http://schemas.openxmlformats.org/officeDocument/2006/custom-properties" xmlns:vt="http://schemas.openxmlformats.org/officeDocument/2006/docPropsVTypes"/>
</file>