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1800"/>
        <w:jc w:val="center"/>
      </w:pPr>
      <w:r>
        <w:rPr>
          <w:rFonts w:ascii="Tahoma" w:hAnsi="Tahoma" w:eastAsia="Tahoma"/>
          <w:b/>
          <w:color w:val="092D46"/>
          <w:sz w:val="48"/>
        </w:rPr>
        <w:t>گزارش مصاحبه‌های مدیریتی خانومی</w:t>
      </w:r>
    </w:p>
    <w:p>
      <w:pPr>
        <w:bidi w:val="1"/>
        <w:jc w:val="center"/>
      </w:pPr>
      <w:r>
        <w:rPr>
          <w:rFonts w:ascii="Tahoma" w:hAnsi="Tahoma" w:eastAsia="Tahoma"/>
          <w:color w:val="2C668A"/>
          <w:sz w:val="28"/>
        </w:rPr>
        <w:t>احسان مرشدی — مدیر محصول | شاهمرادی — مدیرعامل</w:t>
      </w:r>
    </w:p>
    <w:p>
      <w:pPr>
        <w:bidi w:val="1"/>
        <w:spacing w:before="400"/>
        <w:jc w:val="center"/>
      </w:pPr>
      <w:r>
        <w:rPr>
          <w:rFonts w:ascii="Tahoma" w:hAnsi="Tahoma" w:eastAsia="Tahoma"/>
          <w:sz w:val="22"/>
        </w:rPr>
        <w:t>پروژه Product Discovery خانومی — مستند جلسات و تحلیل اولیه</w:t>
      </w:r>
    </w:p>
    <w:p>
      <w:pPr>
        <w:bidi w:val="1"/>
        <w:spacing w:before="1100"/>
        <w:jc w:val="center"/>
      </w:pPr>
      <w:r>
        <w:rPr>
          <w:rFonts w:ascii="Tahoma" w:hAnsi="Tahoma" w:eastAsia="Tahoma"/>
          <w:sz w:val="20"/>
        </w:rPr>
        <w:t>تاریخ تدوین: ۷ سپتامبر ۲۰۲۶</w:t>
      </w:r>
    </w:p>
    <w:p>
      <w:r>
        <w:br w:type="page"/>
      </w:r>
    </w:p>
    <w:p>
      <w:pPr>
        <w:bidi w:val="1"/>
        <w:spacing w:before="200" w:after="100"/>
        <w:jc w:val="right"/>
      </w:pPr>
      <w:r>
        <w:rPr>
          <w:rFonts w:ascii="Tahoma" w:hAnsi="Tahoma" w:eastAsia="Tahoma"/>
          <w:b/>
          <w:color w:val="0C2C44"/>
          <w:sz w:val="32"/>
        </w:rPr>
        <w:t>۱. یادداشت روش‌شناسی</w:t>
      </w:r>
    </w:p>
    <w:p>
      <w:pPr>
        <w:bidi w:val="1"/>
        <w:spacing w:after="80"/>
        <w:jc w:val="right"/>
      </w:pPr>
      <w:r>
        <w:rPr>
          <w:rFonts w:ascii="Tahoma" w:hAnsi="Tahoma" w:eastAsia="Tahoma"/>
          <w:b w:val="0"/>
          <w:sz w:val="21"/>
        </w:rPr>
        <w:t>این سند بر اساس یادداشت‌های ثبت‌شده از جلسه با احسان مرشدی، مدیر محصول خانومی، و بازگویی/یادداشت‌های جلسه با شاهمرادی، مدیرعامل خانومی تدوین شده است. هرجا نقل‌قول دقیق فایل صوتی در اختیار نبوده، متن به‌عنوان «خلاصه یا بازگویی جلسه» در نظر گرفته شده و نه نقل‌قول کلمه‌به‌کلمه.</w:t>
      </w:r>
    </w:p>
    <w:p>
      <w:pPr>
        <w:bidi w:val="1"/>
        <w:spacing w:after="80"/>
        <w:jc w:val="right"/>
      </w:pPr>
      <w:r>
        <w:rPr>
          <w:rFonts w:ascii="Tahoma" w:hAnsi="Tahoma" w:eastAsia="Tahoma"/>
          <w:b/>
          <w:sz w:val="21"/>
        </w:rPr>
        <w:t>سطوح اعتبار در این سند:</w:t>
      </w:r>
    </w:p>
    <w:p>
      <w:pPr>
        <w:bidi w:val="1"/>
        <w:spacing w:after="50"/>
        <w:ind w:right="255"/>
        <w:jc w:val="right"/>
      </w:pPr>
      <w:r>
        <w:rPr>
          <w:rFonts w:ascii="Tahoma" w:hAnsi="Tahoma" w:eastAsia="Tahoma"/>
          <w:sz w:val="21"/>
        </w:rPr>
        <w:t>• تأییدشده: با چند منبع داخلی/گزارش رسمی هم‌راستا است.</w:t>
      </w:r>
    </w:p>
    <w:p>
      <w:pPr>
        <w:bidi w:val="1"/>
        <w:spacing w:after="50"/>
        <w:ind w:right="255"/>
        <w:jc w:val="right"/>
      </w:pPr>
      <w:r>
        <w:rPr>
          <w:rFonts w:ascii="Tahoma" w:hAnsi="Tahoma" w:eastAsia="Tahoma"/>
          <w:sz w:val="21"/>
        </w:rPr>
        <w:t>• قابل استفاده با قید: از مدیر ارشد نقل شده، اما تعریف یا داده پشتیبان کامل نداریم.</w:t>
      </w:r>
    </w:p>
    <w:p>
      <w:pPr>
        <w:bidi w:val="1"/>
        <w:spacing w:after="50"/>
        <w:ind w:right="255"/>
        <w:jc w:val="right"/>
      </w:pPr>
      <w:r>
        <w:rPr>
          <w:rFonts w:ascii="Tahoma" w:hAnsi="Tahoma" w:eastAsia="Tahoma"/>
          <w:sz w:val="21"/>
        </w:rPr>
        <w:t>• فرضیه/استنتاج: تحلیل تیم پژوهش است و نیازمند validation مستقل است.</w:t>
      </w:r>
    </w:p>
    <w:p>
      <w:pPr>
        <w:bidi w:val="1"/>
        <w:spacing w:after="50"/>
        <w:ind w:right="255"/>
        <w:jc w:val="right"/>
      </w:pPr>
      <w:r>
        <w:rPr>
          <w:rFonts w:ascii="Tahoma" w:hAnsi="Tahoma" w:eastAsia="Tahoma"/>
          <w:sz w:val="21"/>
        </w:rPr>
        <w:t>• نیازمند راستی‌آزمایی: ادعای عددی یا علّی بدون تعریف متریک، denominator، cohort یا داده خام.</w:t>
      </w:r>
    </w:p>
    <w:p>
      <w:pPr>
        <w:bidi w:val="1"/>
        <w:spacing w:before="200" w:after="100"/>
        <w:jc w:val="right"/>
      </w:pPr>
      <w:r>
        <w:rPr>
          <w:rFonts w:ascii="Tahoma" w:hAnsi="Tahoma" w:eastAsia="Tahoma"/>
          <w:b/>
          <w:color w:val="0C2C44"/>
          <w:sz w:val="32"/>
        </w:rPr>
        <w:t>۲. مصاحبه با احسان مرشدی — مدیر محصول خانومی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28"/>
            <w:shd w:fill="163A5D"/>
            <w:vAlign w:val="center"/>
            <w:bidiVisual w:val="1"/>
          </w:tcPr>
          <w:p>
            <w:pPr>
              <w:bidi w:val="1"/>
              <w:jc w:val="right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موضوع</w:t>
            </w:r>
          </w:p>
        </w:tc>
        <w:tc>
          <w:tcPr>
            <w:tcW w:type="dxa" w:w="4422"/>
            <w:shd w:fill="163A5D"/>
            <w:vAlign w:val="center"/>
            <w:bidiVisual w:val="1"/>
          </w:tcPr>
          <w:p>
            <w:pPr>
              <w:bidi w:val="1"/>
              <w:jc w:val="right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پاسخ/خلاصه جلسه</w:t>
            </w:r>
          </w:p>
        </w:tc>
        <w:tc>
          <w:tcPr>
            <w:tcW w:type="dxa" w:w="4082"/>
            <w:shd w:fill="163A5D"/>
            <w:vAlign w:val="center"/>
            <w:bidiVisual w:val="1"/>
          </w:tcPr>
          <w:p>
            <w:pPr>
              <w:bidi w:val="1"/>
              <w:jc w:val="right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تفسیر و وضعیت</w:t>
            </w:r>
          </w:p>
        </w:tc>
        <w:tc>
          <w:tcPr>
            <w:tcW w:type="dxa" w:w="1020"/>
            <w:shd w:fill="163A5D"/>
            <w:vAlign w:val="center"/>
            <w:bidiVisual w:val="1"/>
          </w:tcPr>
          <w:p>
            <w:pPr>
              <w:bidi w:val="1"/>
              <w:jc w:val="right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اعتماد</w:t>
            </w:r>
          </w:p>
        </w:tc>
      </w:tr>
      <w:tr>
        <w:tc>
          <w:tcPr>
            <w:tcW w:type="dxa" w:w="1928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KPIهای اصلی موفقیت</w:t>
            </w:r>
          </w:p>
        </w:tc>
        <w:tc>
          <w:tcPr>
            <w:tcW w:type="dxa" w:w="4422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نرخ خرید مجدد / بازگشت کاربر سه‌ماهه؛ حدود ۳۰٪. همچنین سود و حاشیه سود و کاهش صرف‌نظر/اصطکاک خرید. برای بازه بلندمدت، حدود ۶۰٪ بازگشت در دو سال.</w:t>
            </w:r>
          </w:p>
        </w:tc>
        <w:tc>
          <w:tcPr>
            <w:tcW w:type="dxa" w:w="4082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سه‌ماهه نیازمند تعریف دقیق cohort و denominator است. عدد دوساله بعداً با گفته مدیرعامل و گزارش ۱۴۰۴ هم‌راستا شد.</w:t>
            </w:r>
          </w:p>
        </w:tc>
        <w:tc>
          <w:tcPr>
            <w:tcW w:type="dxa" w:w="1020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</w:t>
            </w:r>
          </w:p>
        </w:tc>
      </w:tr>
      <w:tr>
        <w:tc>
          <w:tcPr>
            <w:tcW w:type="dxa" w:w="1928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اولویت در محدودیت منابع</w:t>
            </w:r>
          </w:p>
        </w:tc>
        <w:tc>
          <w:tcPr>
            <w:tcW w:type="dxa" w:w="4422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بهبود سایت و فرآیند خرید؛ CX و User Journey؛ محتوا؛ کمبود دیتای محصول؛ PDP.</w:t>
            </w:r>
          </w:p>
        </w:tc>
        <w:tc>
          <w:tcPr>
            <w:tcW w:type="dxa" w:w="4082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تأکید زیاد روی مسائل کلان و مخصوصاً ضعف Product Data دیده شد.</w:t>
            </w:r>
          </w:p>
        </w:tc>
        <w:tc>
          <w:tcPr>
            <w:tcW w:type="dxa" w:w="1020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A/B</w:t>
            </w:r>
          </w:p>
        </w:tc>
      </w:tr>
      <w:tr>
        <w:tc>
          <w:tcPr>
            <w:tcW w:type="dxa" w:w="1928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وابستگی به تخفیف</w:t>
            </w:r>
          </w:p>
        </w:tc>
        <w:tc>
          <w:tcPr>
            <w:tcW w:type="dxa" w:w="4422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کاربران loyal حتی با قیمت بالاتر هم از خانومی خرید می‌کنند؛ دوست دارند وابستگی به تخفیف کمتر شود.</w:t>
            </w:r>
          </w:p>
        </w:tc>
        <w:tc>
          <w:tcPr>
            <w:tcW w:type="dxa" w:w="4082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ادعای loyalty با قیمت بالاتر نیازمند داده cohort و price elasticity است.</w:t>
            </w:r>
          </w:p>
        </w:tc>
        <w:tc>
          <w:tcPr>
            <w:tcW w:type="dxa" w:w="1020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B/C</w:t>
            </w:r>
          </w:p>
        </w:tc>
      </w:tr>
      <w:tr>
        <w:tc>
          <w:tcPr>
            <w:tcW w:type="dxa" w:w="1928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Segmentation</w:t>
            </w:r>
          </w:p>
        </w:tc>
        <w:tc>
          <w:tcPr>
            <w:tcW w:type="dxa" w:w="4422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RFM / LRFM و پنج سگمنت.</w:t>
            </w:r>
          </w:p>
        </w:tc>
        <w:tc>
          <w:tcPr>
            <w:tcW w:type="dxa" w:w="4082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وجود مدل تأیید شده، اما میزان operationalization در CRM، کمپین و pricing روشن نیست.</w:t>
            </w:r>
          </w:p>
        </w:tc>
        <w:tc>
          <w:tcPr>
            <w:tcW w:type="dxa" w:w="1020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</w:t>
            </w:r>
          </w:p>
        </w:tc>
      </w:tr>
      <w:tr>
        <w:tc>
          <w:tcPr>
            <w:tcW w:type="dxa" w:w="1928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فروشگاه آفلاین</w:t>
            </w:r>
          </w:p>
        </w:tc>
        <w:tc>
          <w:tcPr>
            <w:tcW w:type="dxa" w:w="4422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فروشگاه فیزیکی جدی نداشتند؛ نمونه‌های قبلی جمع شد به دلیل ROI پایین، هزینه زیرساخت و خواب سرمایه.</w:t>
            </w:r>
          </w:p>
        </w:tc>
        <w:tc>
          <w:tcPr>
            <w:tcW w:type="dxa" w:w="4082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منطق تصمیم قابل قبول است؛ نمی‌توان از این مصاحبه نتیجه گرفت تصمیم غلط بوده.</w:t>
            </w:r>
          </w:p>
        </w:tc>
        <w:tc>
          <w:tcPr>
            <w:tcW w:type="dxa" w:w="1020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</w:t>
            </w:r>
          </w:p>
        </w:tc>
      </w:tr>
      <w:tr>
        <w:tc>
          <w:tcPr>
            <w:tcW w:type="dxa" w:w="1928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استراتژی</w:t>
            </w:r>
          </w:p>
        </w:tc>
        <w:tc>
          <w:tcPr>
            <w:tcW w:type="dxa" w:w="4422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مرجع خرید خانم‌ها بودن؛ Marketplace بودن را رد کرد و گفت تعریف Marketplace متفاوت است.</w:t>
            </w:r>
          </w:p>
        </w:tc>
        <w:tc>
          <w:tcPr>
            <w:tcW w:type="dxa" w:w="4082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مرز استراتژیک نیاز به تعریف دقیق‌تر دارد؛ بعداً مدیرعامل توضیح داد طلا یک استثنای مدیریت ریسک بوده.</w:t>
            </w:r>
          </w:p>
        </w:tc>
        <w:tc>
          <w:tcPr>
            <w:tcW w:type="dxa" w:w="1020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</w:t>
            </w:r>
          </w:p>
        </w:tc>
      </w:tr>
      <w:tr>
        <w:tc>
          <w:tcPr>
            <w:tcW w:type="dxa" w:w="1928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کمک به انتخاب محصول</w:t>
            </w:r>
          </w:p>
        </w:tc>
        <w:tc>
          <w:tcPr>
            <w:tcW w:type="dxa" w:w="4422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پیشنهاد محصول وجود دارد اما استفاده کم است؛ ویژگی‌های محتوای مطلوب را می‌دانند ولی quantification نشده؛ A/B test تقریباً انجام نشده.</w:t>
            </w:r>
          </w:p>
        </w:tc>
        <w:tc>
          <w:tcPr>
            <w:tcW w:type="dxa" w:w="4082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شکاف مستقیم در experimentation و recommendation measurement.</w:t>
            </w:r>
          </w:p>
        </w:tc>
        <w:tc>
          <w:tcPr>
            <w:tcW w:type="dxa" w:w="1020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A/B</w:t>
            </w:r>
          </w:p>
        </w:tc>
      </w:tr>
      <w:tr>
        <w:tc>
          <w:tcPr>
            <w:tcW w:type="dxa" w:w="1928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مانع راهنمای انتخاب</w:t>
            </w:r>
          </w:p>
        </w:tc>
        <w:tc>
          <w:tcPr>
            <w:tcW w:type="dxa" w:w="4422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اطلاعات محصول برای پیشنهاد دقیق کافی نیست؛ ایده AI Agent / Suggestion نیز در ذهن بوده اما عملیاتی نشده.</w:t>
            </w:r>
          </w:p>
        </w:tc>
        <w:tc>
          <w:tcPr>
            <w:tcW w:type="dxa" w:w="4082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یکی از قوی‌ترین یافته‌های داخلی جلسه؛ با فرضیه Decision Support هم‌راستاست.</w:t>
            </w:r>
          </w:p>
        </w:tc>
        <w:tc>
          <w:tcPr>
            <w:tcW w:type="dxa" w:w="1020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A/B</w:t>
            </w:r>
          </w:p>
        </w:tc>
      </w:tr>
      <w:tr>
        <w:tc>
          <w:tcPr>
            <w:tcW w:type="dxa" w:w="1928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Routine / Guide / Consultation</w:t>
            </w:r>
          </w:p>
        </w:tc>
        <w:tc>
          <w:tcPr>
            <w:tcW w:type="dxa" w:w="4422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Feature کامل ندارند؛ تست‌هایی در Social انجام شده و یک MVP اجرا شده.</w:t>
            </w:r>
          </w:p>
        </w:tc>
        <w:tc>
          <w:tcPr>
            <w:tcW w:type="dxa" w:w="4082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نیازمند دریافت مستند MVP و نتیجه تست.</w:t>
            </w:r>
          </w:p>
        </w:tc>
        <w:tc>
          <w:tcPr>
            <w:tcW w:type="dxa" w:w="1020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</w:t>
            </w:r>
          </w:p>
        </w:tc>
      </w:tr>
      <w:tr>
        <w:tc>
          <w:tcPr>
            <w:tcW w:type="dxa" w:w="1928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دلایل نارضایتی / عدم خرید مجدد</w:t>
            </w:r>
          </w:p>
        </w:tc>
        <w:tc>
          <w:tcPr>
            <w:tcW w:type="dxa" w:w="4422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به ترتیب: اصالت، پشتیبانی، ارسال، قیمت. در عین حال گفت مشتری فعلی خانومی اصالت را مسئله اصلی نمی‌داند و مشکل بیشتر در Social Media است.</w:t>
            </w:r>
          </w:p>
        </w:tc>
        <w:tc>
          <w:tcPr>
            <w:tcW w:type="dxa" w:w="4082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می‌تواند نشان‌دهنده شکاف بین Delivered Reality و Market Perception باشد؛ رتبه‌بندی داخلی نیازمند داده واقعی complaint taxonomy است.</w:t>
            </w:r>
          </w:p>
        </w:tc>
        <w:tc>
          <w:tcPr>
            <w:tcW w:type="dxa" w:w="1020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B/C</w:t>
            </w:r>
          </w:p>
        </w:tc>
      </w:tr>
      <w:tr>
        <w:tc>
          <w:tcPr>
            <w:tcW w:type="dxa" w:w="1928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دسته با بیشترین نیاز به راهنمایی</w:t>
            </w:r>
          </w:p>
        </w:tc>
        <w:tc>
          <w:tcPr>
            <w:tcW w:type="dxa" w:w="4422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داده مشخص نداشتند و A/B test انجام نشده.</w:t>
            </w:r>
          </w:p>
        </w:tc>
        <w:tc>
          <w:tcPr>
            <w:tcW w:type="dxa" w:w="4082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Measurement gap واقعی.</w:t>
            </w:r>
          </w:p>
        </w:tc>
        <w:tc>
          <w:tcPr>
            <w:tcW w:type="dxa" w:w="1020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A</w:t>
            </w:r>
          </w:p>
        </w:tc>
      </w:tr>
      <w:tr>
        <w:tc>
          <w:tcPr>
            <w:tcW w:type="dxa" w:w="1928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PR / جنگ رسانه‌ای</w:t>
            </w:r>
          </w:p>
        </w:tc>
        <w:tc>
          <w:tcPr>
            <w:tcW w:type="dxa" w:w="4422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برنامه برای کار رسانه‌ای دارند؛ هنوز بسیاری از اقدامات انجام نشده.</w:t>
            </w:r>
          </w:p>
        </w:tc>
        <w:tc>
          <w:tcPr>
            <w:tcW w:type="dxa" w:w="4082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Strategy intention، نه capability موجود.</w:t>
            </w:r>
          </w:p>
        </w:tc>
        <w:tc>
          <w:tcPr>
            <w:tcW w:type="dxa" w:w="1020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</w:t>
            </w:r>
          </w:p>
        </w:tc>
      </w:tr>
      <w:tr>
        <w:tc>
          <w:tcPr>
            <w:tcW w:type="dxa" w:w="1928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آزمایشگاه</w:t>
            </w:r>
          </w:p>
        </w:tc>
        <w:tc>
          <w:tcPr>
            <w:tcW w:type="dxa" w:w="4422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آزمایشگاه داخلی ندارند و با مجموعه‌های بیرونی همکاری می‌کنند.</w:t>
            </w:r>
          </w:p>
        </w:tc>
        <w:tc>
          <w:tcPr>
            <w:tcW w:type="dxa" w:w="4082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ادعای عملیاتی؛ قابل پیگیری.</w:t>
            </w:r>
          </w:p>
        </w:tc>
        <w:tc>
          <w:tcPr>
            <w:tcW w:type="dxa" w:w="1020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</w:t>
            </w:r>
          </w:p>
        </w:tc>
      </w:tr>
      <w:tr>
        <w:tc>
          <w:tcPr>
            <w:tcW w:type="dxa" w:w="1928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باشگاه مشتریان</w:t>
            </w:r>
          </w:p>
        </w:tc>
        <w:tc>
          <w:tcPr>
            <w:tcW w:type="dxa" w:w="4422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باشگاه مشتریان جدی ندارند.</w:t>
            </w:r>
          </w:p>
        </w:tc>
        <w:tc>
          <w:tcPr>
            <w:tcW w:type="dxa" w:w="4082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با اهمیت retention می‌تواند یک capability gap باشد، اما اثر علّی آن هنوز اثبات نشده.</w:t>
            </w:r>
          </w:p>
        </w:tc>
        <w:tc>
          <w:tcPr>
            <w:tcW w:type="dxa" w:w="1020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</w:t>
            </w:r>
          </w:p>
        </w:tc>
      </w:tr>
    </w:tbl>
    <w:p>
      <w:pPr>
        <w:bidi w:val="1"/>
        <w:spacing w:before="200" w:after="100"/>
        <w:jc w:val="right"/>
      </w:pPr>
      <w:r>
        <w:rPr>
          <w:rFonts w:ascii="Tahoma" w:hAnsi="Tahoma" w:eastAsia="Tahoma"/>
          <w:b/>
          <w:color w:val="0C2C44"/>
          <w:sz w:val="32"/>
        </w:rPr>
        <w:t>۳. مصاحبه با شاهمرادی — مدیرعامل خانومی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shd w:fill="163A5D"/>
            <w:vAlign w:val="center"/>
            <w:bidiVisual w:val="1"/>
          </w:tcPr>
          <w:p>
            <w:pPr>
              <w:bidi w:val="1"/>
              <w:jc w:val="right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موضوع</w:t>
            </w:r>
          </w:p>
        </w:tc>
        <w:tc>
          <w:tcPr>
            <w:tcW w:type="dxa" w:w="4309"/>
            <w:shd w:fill="163A5D"/>
            <w:vAlign w:val="center"/>
            <w:bidiVisual w:val="1"/>
          </w:tcPr>
          <w:p>
            <w:pPr>
              <w:bidi w:val="1"/>
              <w:jc w:val="right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پاسخ/خلاصه جلسه</w:t>
            </w:r>
          </w:p>
        </w:tc>
        <w:tc>
          <w:tcPr>
            <w:tcW w:type="dxa" w:w="4139"/>
            <w:shd w:fill="163A5D"/>
            <w:vAlign w:val="center"/>
            <w:bidiVisual w:val="1"/>
          </w:tcPr>
          <w:p>
            <w:pPr>
              <w:bidi w:val="1"/>
              <w:jc w:val="right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تفسیر و وضعیت</w:t>
            </w:r>
          </w:p>
        </w:tc>
        <w:tc>
          <w:tcPr>
            <w:tcW w:type="dxa" w:w="1020"/>
            <w:shd w:fill="163A5D"/>
            <w:vAlign w:val="center"/>
            <w:bidiVisual w:val="1"/>
          </w:tcPr>
          <w:p>
            <w:pPr>
              <w:bidi w:val="1"/>
              <w:jc w:val="right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اعتماد</w:t>
            </w:r>
          </w:p>
        </w:tc>
      </w:tr>
      <w:tr>
        <w:tc>
          <w:tcPr>
            <w:tcW w:type="dxa" w:w="1984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طلا و توسعه دسته‌ها</w:t>
            </w:r>
          </w:p>
        </w:tc>
        <w:tc>
          <w:tcPr>
            <w:tcW w:type="dxa" w:w="4309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دنبال مدیریت ریسک و تنوع درآمد بودند. تقریباً همه خطوط درآمدی در سلامت/بیوتی‌اند و طلا استثنا برای مدیریت ریسک بوده. برقی‌های مربوط به Beauty همیشه وجود داشته‌اند.</w:t>
            </w:r>
          </w:p>
        </w:tc>
        <w:tc>
          <w:tcPr>
            <w:tcW w:type="dxa" w:w="4139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روایت «هرچیزی برای زنان» بیش از حد broad بود؛ توضیح مدیرعامل منطق portfolio diversification روشن‌تری ارائه می‌کند.</w:t>
            </w:r>
          </w:p>
        </w:tc>
        <w:tc>
          <w:tcPr>
            <w:tcW w:type="dxa" w:w="1020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</w:t>
            </w:r>
          </w:p>
        </w:tc>
      </w:tr>
      <w:tr>
        <w:tc>
          <w:tcPr>
            <w:tcW w:type="dxa" w:w="1984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E-commerce و Social Commerce</w:t>
            </w:r>
          </w:p>
        </w:tc>
        <w:tc>
          <w:tcPr>
            <w:tcW w:type="dxa" w:w="4309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گفت خانومی E-commerce است؛ قصد بیشتر بازارسازی دارد تا صرفاً گرفتن سهم رقبا. اعداد جهانی/ایران هم در جلسه ذکر شد.</w:t>
            </w:r>
          </w:p>
        </w:tc>
        <w:tc>
          <w:tcPr>
            <w:tcW w:type="dxa" w:w="4139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جهت استراتژیک قابل استفاده است؛ اعداد Social Commerce/GDP نیازمند راستی‌آزمایی جداگانه‌اند.</w:t>
            </w:r>
          </w:p>
        </w:tc>
        <w:tc>
          <w:tcPr>
            <w:tcW w:type="dxa" w:w="1020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B/C</w:t>
            </w:r>
          </w:p>
        </w:tc>
      </w:tr>
      <w:tr>
        <w:tc>
          <w:tcPr>
            <w:tcW w:type="dxa" w:w="1984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دلیل رشد دسته‌های گران‌تر</w:t>
            </w:r>
          </w:p>
        </w:tc>
        <w:tc>
          <w:tcPr>
            <w:tcW w:type="dxa" w:w="4309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ورود به برقی و طلا را ناشی از گران‌تر شدن کالا و استراتژی دانست، نه BNPL.</w:t>
            </w:r>
          </w:p>
        </w:tc>
        <w:tc>
          <w:tcPr>
            <w:tcW w:type="dxa" w:w="4139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توضیح مدیریتی؛ برای causal attribution نیازمند decomposition داده فروش است.</w:t>
            </w:r>
          </w:p>
        </w:tc>
        <w:tc>
          <w:tcPr>
            <w:tcW w:type="dxa" w:w="1020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</w:t>
            </w:r>
          </w:p>
        </w:tc>
      </w:tr>
      <w:tr>
        <w:tc>
          <w:tcPr>
            <w:tcW w:type="dxa" w:w="1984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سهم BNPL</w:t>
            </w:r>
          </w:p>
        </w:tc>
        <w:tc>
          <w:tcPr>
            <w:tcW w:type="dxa" w:w="4309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BNPL حدود ۱۰٪ فروش را تشکیل می‌دهد.</w:t>
            </w:r>
          </w:p>
        </w:tc>
        <w:tc>
          <w:tcPr>
            <w:tcW w:type="dxa" w:w="4139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Self-report مدیرعامل؛ نیازمند داده تراکنش برای تأیید قطعی.</w:t>
            </w:r>
          </w:p>
        </w:tc>
        <w:tc>
          <w:tcPr>
            <w:tcW w:type="dxa" w:w="1020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</w:t>
            </w:r>
          </w:p>
        </w:tc>
      </w:tr>
      <w:tr>
        <w:tc>
          <w:tcPr>
            <w:tcW w:type="dxa" w:w="1984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ارزش سبد BNPL</w:t>
            </w:r>
          </w:p>
        </w:tc>
        <w:tc>
          <w:tcPr>
            <w:tcW w:type="dxa" w:w="4309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سبد BNPL حدود ۷ تا ۱۰٪ بزرگ‌تر است.</w:t>
            </w:r>
          </w:p>
        </w:tc>
        <w:tc>
          <w:tcPr>
            <w:tcW w:type="dxa" w:w="4139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ادعای عددی مهم؛ نیازمند cohort/payment-method analysis.</w:t>
            </w:r>
          </w:p>
        </w:tc>
        <w:tc>
          <w:tcPr>
            <w:tcW w:type="dxa" w:w="1020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</w:t>
            </w:r>
          </w:p>
        </w:tc>
      </w:tr>
      <w:tr>
        <w:tc>
          <w:tcPr>
            <w:tcW w:type="dxa" w:w="1984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پرووایدر BNPL</w:t>
            </w:r>
          </w:p>
        </w:tc>
        <w:tc>
          <w:tcPr>
            <w:tcW w:type="dxa" w:w="4309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فقط با اسنپ همکاری می‌کنند؛ محدودیت رابطه‌ای/تجاری برای همکاری با دیگر ارائه‌دهندگان ذکر شد.</w:t>
            </w:r>
          </w:p>
        </w:tc>
        <w:tc>
          <w:tcPr>
            <w:tcW w:type="dxa" w:w="4139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ریسک concentration و dependency بالقوه.</w:t>
            </w:r>
          </w:p>
        </w:tc>
        <w:tc>
          <w:tcPr>
            <w:tcW w:type="dxa" w:w="1020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</w:t>
            </w:r>
          </w:p>
        </w:tc>
      </w:tr>
      <w:tr>
        <w:tc>
          <w:tcPr>
            <w:tcW w:type="dxa" w:w="1984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تسویه</w:t>
            </w:r>
          </w:p>
        </w:tc>
        <w:tc>
          <w:tcPr>
            <w:tcW w:type="dxa" w:w="4309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قرارداد/تسویه با تأمین‌کننده حدود یک ماه است و عملاً ممکن است تا حدود ۴۵ روز طول بکشد.</w:t>
            </w:r>
          </w:p>
        </w:tc>
        <w:tc>
          <w:tcPr>
            <w:tcW w:type="dxa" w:w="4139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برای Working Capital و Cash Conversion Cycle مهم است؛ نیازمند تأیید قراردادی.</w:t>
            </w:r>
          </w:p>
        </w:tc>
        <w:tc>
          <w:tcPr>
            <w:tcW w:type="dxa" w:w="1020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</w:t>
            </w:r>
          </w:p>
        </w:tc>
      </w:tr>
      <w:tr>
        <w:tc>
          <w:tcPr>
            <w:tcW w:type="dxa" w:w="1984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Retention سه‌ماهه</w:t>
            </w:r>
          </w:p>
        </w:tc>
        <w:tc>
          <w:tcPr>
            <w:tcW w:type="dxa" w:w="4309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حدود ۳۵٪.</w:t>
            </w:r>
          </w:p>
        </w:tc>
        <w:tc>
          <w:tcPr>
            <w:tcW w:type="dxa" w:w="4139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با عدد ۳۰٪ مرشدی نزدیک است، اما تعریف دقیق metric هنوز لازم است.</w:t>
            </w:r>
          </w:p>
        </w:tc>
        <w:tc>
          <w:tcPr>
            <w:tcW w:type="dxa" w:w="1020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</w:t>
            </w:r>
          </w:p>
        </w:tc>
      </w:tr>
      <w:tr>
        <w:tc>
          <w:tcPr>
            <w:tcW w:type="dxa" w:w="1984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بازگشت دوساله</w:t>
            </w:r>
          </w:p>
        </w:tc>
        <w:tc>
          <w:tcPr>
            <w:tcW w:type="dxa" w:w="4309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حدود ۶۰٪.</w:t>
            </w:r>
          </w:p>
        </w:tc>
        <w:tc>
          <w:tcPr>
            <w:tcW w:type="dxa" w:w="4139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با عدد ۶۰٪ مرشدی و حدود ۵۷٪ گزارش ۱۴۰۴ هم‌راستا است.</w:t>
            </w:r>
          </w:p>
        </w:tc>
        <w:tc>
          <w:tcPr>
            <w:tcW w:type="dxa" w:w="1020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A/B</w:t>
            </w:r>
          </w:p>
        </w:tc>
      </w:tr>
    </w:tbl>
    <w:p>
      <w:pPr>
        <w:bidi w:val="1"/>
        <w:spacing w:before="200" w:after="100"/>
        <w:jc w:val="right"/>
      </w:pPr>
      <w:r>
        <w:rPr>
          <w:rFonts w:ascii="Tahoma" w:hAnsi="Tahoma" w:eastAsia="Tahoma"/>
          <w:b/>
          <w:color w:val="0C2C44"/>
          <w:sz w:val="32"/>
        </w:rPr>
        <w:t>۴. نقاط همگرایی بین دو مدیر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814"/>
            <w:shd w:fill="163A5D"/>
            <w:vAlign w:val="center"/>
            <w:bidiVisual w:val="1"/>
          </w:tcPr>
          <w:p>
            <w:pPr>
              <w:bidi w:val="1"/>
              <w:jc w:val="right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محور</w:t>
            </w:r>
          </w:p>
        </w:tc>
        <w:tc>
          <w:tcPr>
            <w:tcW w:type="dxa" w:w="3175"/>
            <w:shd w:fill="163A5D"/>
            <w:vAlign w:val="center"/>
            <w:bidiVisual w:val="1"/>
          </w:tcPr>
          <w:p>
            <w:pPr>
              <w:bidi w:val="1"/>
              <w:jc w:val="right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مرشدی</w:t>
            </w:r>
          </w:p>
        </w:tc>
        <w:tc>
          <w:tcPr>
            <w:tcW w:type="dxa" w:w="3175"/>
            <w:shd w:fill="163A5D"/>
            <w:vAlign w:val="center"/>
            <w:bidiVisual w:val="1"/>
          </w:tcPr>
          <w:p>
            <w:pPr>
              <w:bidi w:val="1"/>
              <w:jc w:val="right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شاهمرادی</w:t>
            </w:r>
          </w:p>
        </w:tc>
        <w:tc>
          <w:tcPr>
            <w:tcW w:type="dxa" w:w="3345"/>
            <w:shd w:fill="163A5D"/>
            <w:vAlign w:val="center"/>
            <w:bidiVisual w:val="1"/>
          </w:tcPr>
          <w:p>
            <w:pPr>
              <w:bidi w:val="1"/>
              <w:jc w:val="right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جمع‌بندی</w:t>
            </w:r>
          </w:p>
        </w:tc>
      </w:tr>
      <w:tr>
        <w:tc>
          <w:tcPr>
            <w:tcW w:type="dxa" w:w="1814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Retention</w:t>
            </w:r>
          </w:p>
        </w:tc>
        <w:tc>
          <w:tcPr>
            <w:tcW w:type="dxa" w:w="3175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مرشدی: ~۳۰٪ سه‌ماهه، ~۶۰٪ دوساله</w:t>
            </w:r>
          </w:p>
        </w:tc>
        <w:tc>
          <w:tcPr>
            <w:tcW w:type="dxa" w:w="3175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شاهمرادی: ~۳۵٪ سه‌ماهه، ~۶۰٪ دوساله</w:t>
            </w:r>
          </w:p>
        </w:tc>
        <w:tc>
          <w:tcPr>
            <w:tcW w:type="dxa" w:w="3345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همگرایی قوی؛ تعریف metric سه‌ماهه باز است.</w:t>
            </w:r>
          </w:p>
        </w:tc>
      </w:tr>
      <w:tr>
        <w:tc>
          <w:tcPr>
            <w:tcW w:type="dxa" w:w="1814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اهمیت Retention</w:t>
            </w:r>
          </w:p>
        </w:tc>
        <w:tc>
          <w:tcPr>
            <w:tcW w:type="dxa" w:w="3175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KPI اصلی</w:t>
            </w:r>
          </w:p>
        </w:tc>
        <w:tc>
          <w:tcPr>
            <w:tcW w:type="dxa" w:w="3175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عدد و بازه را تأیید کرد</w:t>
            </w:r>
          </w:p>
        </w:tc>
        <w:tc>
          <w:tcPr>
            <w:tcW w:type="dxa" w:w="3345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تأیید مدیریتی قوی.</w:t>
            </w:r>
          </w:p>
        </w:tc>
      </w:tr>
      <w:tr>
        <w:tc>
          <w:tcPr>
            <w:tcW w:type="dxa" w:w="1814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Decision / CX</w:t>
            </w:r>
          </w:p>
        </w:tc>
        <w:tc>
          <w:tcPr>
            <w:tcW w:type="dxa" w:w="3175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کاهش اصطکاک خرید، PDP، محتوا و Product Data</w:t>
            </w:r>
          </w:p>
        </w:tc>
        <w:tc>
          <w:tcPr>
            <w:tcW w:type="dxa" w:w="3175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استراتژی بازارسازی و رشد E-commerce</w:t>
            </w:r>
          </w:p>
        </w:tc>
        <w:tc>
          <w:tcPr>
            <w:tcW w:type="dxa" w:w="3345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با thesis Decision Support سازگار.</w:t>
            </w:r>
          </w:p>
        </w:tc>
      </w:tr>
      <w:tr>
        <w:tc>
          <w:tcPr>
            <w:tcW w:type="dxa" w:w="1814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Product / Category Strategy</w:t>
            </w:r>
          </w:p>
        </w:tc>
        <w:tc>
          <w:tcPr>
            <w:tcW w:type="dxa" w:w="3175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مرجع خرید زنان / مرز Marketplace مبهم</w:t>
            </w:r>
          </w:p>
        </w:tc>
        <w:tc>
          <w:tcPr>
            <w:tcW w:type="dxa" w:w="3175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طلا = مدیریت ریسک؛ سایر توسعه‌ها عمدتاً سلامت/بیوتی</w:t>
            </w:r>
          </w:p>
        </w:tc>
        <w:tc>
          <w:tcPr>
            <w:tcW w:type="dxa" w:w="3345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روایت مدیرعامل guardrail را روشن‌تر می‌کند.</w:t>
            </w:r>
          </w:p>
        </w:tc>
      </w:tr>
      <w:tr>
        <w:tc>
          <w:tcPr>
            <w:tcW w:type="dxa" w:w="1814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BNPL</w:t>
            </w:r>
          </w:p>
        </w:tc>
        <w:tc>
          <w:tcPr>
            <w:tcW w:type="dxa" w:w="3175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در جلسه مرشدی محور اصلی نبود</w:t>
            </w:r>
          </w:p>
        </w:tc>
        <w:tc>
          <w:tcPr>
            <w:tcW w:type="dxa" w:w="3175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~۱۰٪ فروش و +۷ تا ۱۰٪ basket</w:t>
            </w:r>
          </w:p>
        </w:tc>
        <w:tc>
          <w:tcPr>
            <w:tcW w:type="dxa" w:w="3345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برای Business Case مهم؛ هنوز نیازمند تحلیل تراکنش.</w:t>
            </w:r>
          </w:p>
        </w:tc>
      </w:tr>
    </w:tbl>
    <w:p>
      <w:pPr>
        <w:bidi w:val="1"/>
        <w:spacing w:before="200" w:after="100"/>
        <w:jc w:val="right"/>
      </w:pPr>
      <w:r>
        <w:rPr>
          <w:rFonts w:ascii="Tahoma" w:hAnsi="Tahoma" w:eastAsia="Tahoma"/>
          <w:b/>
          <w:color w:val="0C2C44"/>
          <w:sz w:val="32"/>
        </w:rPr>
        <w:t>۵. موارد نیازمند راستی‌آزمایی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685"/>
            <w:shd w:fill="163A5D"/>
            <w:vAlign w:val="center"/>
            <w:bidiVisual w:val="1"/>
          </w:tcPr>
          <w:p>
            <w:pPr>
              <w:bidi w:val="1"/>
              <w:jc w:val="right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ادعا</w:t>
            </w:r>
          </w:p>
        </w:tc>
        <w:tc>
          <w:tcPr>
            <w:tcW w:type="dxa" w:w="6520"/>
            <w:shd w:fill="163A5D"/>
            <w:vAlign w:val="center"/>
            <w:bidiVisual w:val="1"/>
          </w:tcPr>
          <w:p>
            <w:pPr>
              <w:bidi w:val="1"/>
              <w:jc w:val="right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داده لازم برای تأیید</w:t>
            </w:r>
          </w:p>
        </w:tc>
        <w:tc>
          <w:tcPr>
            <w:tcW w:type="dxa" w:w="1134"/>
            <w:shd w:fill="163A5D"/>
            <w:vAlign w:val="center"/>
            <w:bidiVisual w:val="1"/>
          </w:tcPr>
          <w:p>
            <w:pPr>
              <w:bidi w:val="1"/>
              <w:jc w:val="right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اولویت</w:t>
            </w:r>
          </w:p>
        </w:tc>
      </w:tr>
      <w:tr>
        <w:tc>
          <w:tcPr>
            <w:tcW w:type="dxa" w:w="3685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Retention سه‌ماهه ۳۰–۳۵٪</w:t>
            </w:r>
          </w:p>
        </w:tc>
        <w:tc>
          <w:tcPr>
            <w:tcW w:type="dxa" w:w="6520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تعریف cohort، numerator، denominator، repeat purchase window</w:t>
            </w:r>
          </w:p>
        </w:tc>
        <w:tc>
          <w:tcPr>
            <w:tcW w:type="dxa" w:w="1134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بالا</w:t>
            </w:r>
          </w:p>
        </w:tc>
      </w:tr>
      <w:tr>
        <w:tc>
          <w:tcPr>
            <w:tcW w:type="dxa" w:w="3685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بازگشت دوساله ۵۷–۶۰٪</w:t>
            </w:r>
          </w:p>
        </w:tc>
        <w:tc>
          <w:tcPr>
            <w:tcW w:type="dxa" w:w="6520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تعریف «بازگشت» و اینکه هر کاربر حداقل یک خرید مجدد در ۲۴ ماه است یا retention فعال</w:t>
            </w:r>
          </w:p>
        </w:tc>
        <w:tc>
          <w:tcPr>
            <w:tcW w:type="dxa" w:w="1134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متوسط</w:t>
            </w:r>
          </w:p>
        </w:tc>
      </w:tr>
      <w:tr>
        <w:tc>
          <w:tcPr>
            <w:tcW w:type="dxa" w:w="3685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 xml:space="preserve"> کاربران loyal با قیمت بالاتر می‌خرند</w:t>
            </w:r>
          </w:p>
        </w:tc>
        <w:tc>
          <w:tcPr>
            <w:tcW w:type="dxa" w:w="6520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Price elasticity × segment × category</w:t>
            </w:r>
          </w:p>
        </w:tc>
        <w:tc>
          <w:tcPr>
            <w:tcW w:type="dxa" w:w="1134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بالا</w:t>
            </w:r>
          </w:p>
        </w:tc>
      </w:tr>
      <w:tr>
        <w:tc>
          <w:tcPr>
            <w:tcW w:type="dxa" w:w="3685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RFM/LRFM پنج‌سگمنتی operational است</w:t>
            </w:r>
          </w:p>
        </w:tc>
        <w:tc>
          <w:tcPr>
            <w:tcW w:type="dxa" w:w="6520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Campaign rules، targeting، uplift و personalization</w:t>
            </w:r>
          </w:p>
        </w:tc>
        <w:tc>
          <w:tcPr>
            <w:tcW w:type="dxa" w:w="1134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متوسط</w:t>
            </w:r>
          </w:p>
        </w:tc>
      </w:tr>
      <w:tr>
        <w:tc>
          <w:tcPr>
            <w:tcW w:type="dxa" w:w="3685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اصالت رتبه اول نارضایتی است</w:t>
            </w:r>
          </w:p>
        </w:tc>
        <w:tc>
          <w:tcPr>
            <w:tcW w:type="dxa" w:w="6520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Complaint taxonomy / tickets / returns / social sentiment</w:t>
            </w:r>
          </w:p>
        </w:tc>
        <w:tc>
          <w:tcPr>
            <w:tcW w:type="dxa" w:w="1134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بالا</w:t>
            </w:r>
          </w:p>
        </w:tc>
      </w:tr>
      <w:tr>
        <w:tc>
          <w:tcPr>
            <w:tcW w:type="dxa" w:w="3685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BNPL = حدود ۱۰٪ فروش</w:t>
            </w:r>
          </w:p>
        </w:tc>
        <w:tc>
          <w:tcPr>
            <w:tcW w:type="dxa" w:w="6520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تراکنش‌ها بر اساس payment method</w:t>
            </w:r>
          </w:p>
        </w:tc>
        <w:tc>
          <w:tcPr>
            <w:tcW w:type="dxa" w:w="1134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متوسط</w:t>
            </w:r>
          </w:p>
        </w:tc>
      </w:tr>
      <w:tr>
        <w:tc>
          <w:tcPr>
            <w:tcW w:type="dxa" w:w="3685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BNPL basket = +۷ تا ۱۰٪</w:t>
            </w:r>
          </w:p>
        </w:tc>
        <w:tc>
          <w:tcPr>
            <w:tcW w:type="dxa" w:w="6520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AOV by payment method و کنترل category/inflation</w:t>
            </w:r>
          </w:p>
        </w:tc>
        <w:tc>
          <w:tcPr>
            <w:tcW w:type="dxa" w:w="1134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بالا</w:t>
            </w:r>
          </w:p>
        </w:tc>
      </w:tr>
      <w:tr>
        <w:tc>
          <w:tcPr>
            <w:tcW w:type="dxa" w:w="3685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دلیل رشد AOV بیشتر category mix است نه BNPL</w:t>
            </w:r>
          </w:p>
        </w:tc>
        <w:tc>
          <w:tcPr>
            <w:tcW w:type="dxa" w:w="6520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Decomposition: inflation × mix × basket depth × BNPL</w:t>
            </w:r>
          </w:p>
        </w:tc>
        <w:tc>
          <w:tcPr>
            <w:tcW w:type="dxa" w:w="1134"/>
            <w:vAlign w:val="top"/>
            <w:bidiVisual w:val="1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بالا</w:t>
            </w:r>
          </w:p>
        </w:tc>
      </w:tr>
      <w:tr>
        <w:tc>
          <w:tcPr>
            <w:tcW w:type="dxa" w:w="3685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استراتژی Market Creation</w:t>
            </w:r>
          </w:p>
        </w:tc>
        <w:tc>
          <w:tcPr>
            <w:tcW w:type="dxa" w:w="6520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Roadmap / category strategy / acquisition thesis</w:t>
            </w:r>
          </w:p>
        </w:tc>
        <w:tc>
          <w:tcPr>
            <w:tcW w:type="dxa" w:w="1134"/>
            <w:vAlign w:val="top"/>
            <w:bidiVisual w:val="1"/>
            <w:shd w:fill="F3F7FA"/>
          </w:tcPr>
          <w:p>
            <w:pPr>
              <w:bidi w:val="1"/>
              <w:spacing w:after="30"/>
              <w:jc w:val="right"/>
            </w:pPr>
            <w:r>
              <w:rPr>
                <w:rFonts w:ascii="Tahoma" w:hAnsi="Tahoma" w:eastAsia="Tahoma"/>
                <w:sz w:val="17"/>
              </w:rPr>
              <w:t>متوسط</w:t>
            </w:r>
          </w:p>
        </w:tc>
      </w:tr>
    </w:tbl>
    <w:p>
      <w:pPr>
        <w:bidi w:val="1"/>
        <w:spacing w:before="200" w:after="100"/>
        <w:jc w:val="right"/>
      </w:pPr>
      <w:r>
        <w:rPr>
          <w:rFonts w:ascii="Tahoma" w:hAnsi="Tahoma" w:eastAsia="Tahoma"/>
          <w:b/>
          <w:color w:val="0C2C44"/>
          <w:sz w:val="32"/>
        </w:rPr>
        <w:t>۶. جمع‌بندی تحلیلی</w:t>
      </w:r>
    </w:p>
    <w:p>
      <w:pPr>
        <w:bidi w:val="1"/>
        <w:spacing w:after="50"/>
        <w:ind w:right="255"/>
        <w:jc w:val="right"/>
      </w:pPr>
      <w:r>
        <w:rPr>
          <w:rFonts w:ascii="Tahoma" w:hAnsi="Tahoma" w:eastAsia="Tahoma"/>
          <w:sz w:val="21"/>
        </w:rPr>
        <w:t>• دو مدیر ارشد بخش قابل‌توجهی از فضای مسئله‌ای را تأیید کردند که تیم پژوهش بدون دسترسی به analytics داخلی به آن رسیده بود.</w:t>
      </w:r>
    </w:p>
    <w:p>
      <w:pPr>
        <w:bidi w:val="1"/>
        <w:spacing w:after="50"/>
        <w:ind w:right="255"/>
        <w:jc w:val="right"/>
      </w:pPr>
      <w:r>
        <w:rPr>
          <w:rFonts w:ascii="Tahoma" w:hAnsi="Tahoma" w:eastAsia="Tahoma"/>
          <w:sz w:val="21"/>
        </w:rPr>
        <w:t>• قوی‌ترین همگرایی داخلی با Discovery خارجی در محورهای Retention، Product Data، Decision Friction، Recommendation و Trust/Authenticity دیده می‌شود.</w:t>
      </w:r>
    </w:p>
    <w:p>
      <w:pPr>
        <w:bidi w:val="1"/>
        <w:spacing w:after="50"/>
        <w:ind w:right="255"/>
        <w:jc w:val="right"/>
      </w:pPr>
      <w:r>
        <w:rPr>
          <w:rFonts w:ascii="Tahoma" w:hAnsi="Tahoma" w:eastAsia="Tahoma"/>
          <w:sz w:val="21"/>
        </w:rPr>
        <w:t>• تأیید مدیریتی جایگزین داده رفتاری نیست؛ هرجا مدیر مسئول همان حوزه است، Self-report باید با Conflict of Interest و احتمال Defensive Framing وزن‌دهی شود.</w:t>
      </w:r>
    </w:p>
    <w:p>
      <w:pPr>
        <w:bidi w:val="1"/>
        <w:spacing w:after="50"/>
        <w:ind w:right="255"/>
        <w:jc w:val="right"/>
      </w:pPr>
      <w:r>
        <w:rPr>
          <w:rFonts w:ascii="Tahoma" w:hAnsi="Tahoma" w:eastAsia="Tahoma"/>
          <w:sz w:val="21"/>
        </w:rPr>
        <w:t>• عدد بازگشت دوساله دیگر ادعای منفرد نیست؛ حدود ۵۷–۶۰٪ در چند منبع هم‌راستا شده است. ابهام اصلی اکنون تعریف metric است، نه صرفاً اصل عدد.</w:t>
      </w:r>
    </w:p>
    <w:p>
      <w:pPr>
        <w:bidi w:val="1"/>
        <w:spacing w:after="50"/>
        <w:ind w:right="255"/>
        <w:jc w:val="right"/>
      </w:pPr>
      <w:r>
        <w:rPr>
          <w:rFonts w:ascii="Tahoma" w:hAnsi="Tahoma" w:eastAsia="Tahoma"/>
          <w:sz w:val="21"/>
        </w:rPr>
        <w:t>• Product Data insufficiency و Low Recommendation Usage از مهم‌ترین یافته‌های داخلی هستند و مستقیم به Opportunity «کاهش عدم‌قطعیت تصمیم پیش از خرید» متصل می‌شوند.</w:t>
      </w:r>
    </w:p>
    <w:p>
      <w:pPr>
        <w:bidi w:val="1"/>
        <w:spacing w:after="50"/>
        <w:ind w:right="255"/>
        <w:jc w:val="right"/>
      </w:pPr>
      <w:r>
        <w:rPr>
          <w:rFonts w:ascii="Tahoma" w:hAnsi="Tahoma" w:eastAsia="Tahoma"/>
          <w:sz w:val="21"/>
        </w:rPr>
        <w:t>• در بخش Strategy، توضیح مدیرعامل درباره طلا به‌عنوان Risk Diversification، روایت توسعه دسته‌ها را منسجم‌تر می‌کند.</w:t>
      </w:r>
    </w:p>
    <w:p>
      <w:pPr>
        <w:bidi w:val="1"/>
        <w:spacing w:after="50"/>
        <w:ind w:right="255"/>
        <w:jc w:val="right"/>
      </w:pPr>
      <w:r>
        <w:rPr>
          <w:rFonts w:ascii="Tahoma" w:hAnsi="Tahoma" w:eastAsia="Tahoma"/>
          <w:sz w:val="21"/>
        </w:rPr>
        <w:t>• در بخش Business، BNPL به‌عنوان lever مهم اما نه لزوماً موتور اصلی رشد AOV دیده می‌شود و به تحلیل decomposition نیاز دارد.</w:t>
      </w:r>
    </w:p>
    <w:p>
      <w:pPr>
        <w:bidi w:val="1"/>
        <w:spacing w:before="200" w:after="100"/>
        <w:jc w:val="right"/>
      </w:pPr>
      <w:r>
        <w:rPr>
          <w:rFonts w:ascii="Tahoma" w:hAnsi="Tahoma" w:eastAsia="Tahoma"/>
          <w:b/>
          <w:color w:val="0C2C44"/>
          <w:sz w:val="32"/>
        </w:rPr>
        <w:t>۷. نتیجه پیشنهادی برای استفاده در ارائه نهایی</w:t>
      </w:r>
    </w:p>
    <w:p>
      <w:pPr>
        <w:bidi w:val="1"/>
        <w:spacing w:after="80"/>
        <w:jc w:val="right"/>
      </w:pPr>
      <w:r>
        <w:rPr>
          <w:rFonts w:ascii="Tahoma" w:hAnsi="Tahoma" w:eastAsia="Tahoma"/>
          <w:b/>
          <w:sz w:val="21"/>
        </w:rPr>
        <w:t>پیام پیشنهادی:</w:t>
      </w:r>
    </w:p>
    <w:p>
      <w:pPr>
        <w:bidi w:val="1"/>
        <w:spacing w:after="80"/>
        <w:jc w:val="right"/>
      </w:pPr>
      <w:r>
        <w:rPr>
          <w:rFonts w:ascii="Tahoma" w:hAnsi="Tahoma" w:eastAsia="Tahoma"/>
          <w:b/>
          <w:color w:val="0C4A6E"/>
          <w:sz w:val="22"/>
        </w:rPr>
        <w:t>«تیم پژوهش بدون دسترسی به داده‌های داخلی، از مسیر مصاحبه، پرسشنامه، VOC، benchmark و crawl به فضای مسئله‌ای رسید که بعداً توسط مدیر محصول و مدیرعامل خانومی نیز تا حد زیادی تأیید شد. این همگرایی، اعتبار Problem Space را بالا می‌برد؛ اما اندازه اقتصادی و اثر علّی فرصت‌ها همچنان به داده داخلی و validation نیاز دارد.»</w:t>
      </w:r>
    </w:p>
    <w:sectPr w:rsidR="00FC693F" w:rsidRPr="0006063C" w:rsidSect="00034616">
      <w:footerReference w:type="default" r:id="rId9"/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Tahoma" w:hAnsi="Tahoma" w:eastAsia="Tahoma"/>
        <w:color w:val="788C9B"/>
        <w:sz w:val="16"/>
      </w:rPr>
      <w:t>Khanoumi Product Discovery — Management Interviews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