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200"/>
        <w:jc w:val="right"/>
        <w:bidi w:val="1"/>
      </w:pPr>
      <w:r>
        <w:rPr>
          <w:rFonts w:ascii="Vazirmatn" w:hAnsi="Vazirmatn" w:cs="Vazirmatn" w:eastAsia="Vazirmatn"/>
          <w:b/>
          <w:color w:val="C52465"/>
          <w:sz w:val="36"/>
          <w:rtl w:val="1"/>
        </w:rPr>
        <w:t>سؤال ۱</w:t>
      </w:r>
    </w:p>
    <w:p>
      <w:pPr>
        <w:spacing w:after="120"/>
        <w:jc w:val="right"/>
        <w:bidi w:val="1"/>
      </w:pPr>
      <w:r>
        <w:rPr>
          <w:rFonts w:ascii="Vazirmatn" w:hAnsi="Vazirmatn" w:cs="Vazirmatn" w:eastAsia="Vazirmatn"/>
          <w:b/>
          <w:color w:val="162037"/>
          <w:sz w:val="52"/>
          <w:rtl w:val="1"/>
        </w:rPr>
        <w:t>بازسازی جریان‌های فعلی کاربر در خانومی</w:t>
      </w:r>
    </w:p>
    <w:p>
      <w:pPr>
        <w:spacing w:after="400"/>
        <w:jc w:val="right"/>
        <w:bidi w:val="1"/>
      </w:pPr>
      <w:r>
        <w:rPr>
          <w:rFonts w:ascii="Vazirmatn" w:hAnsi="Vazirmatn" w:cs="Vazirmatn" w:eastAsia="Vazirmatn"/>
          <w:color w:val="4B5563"/>
          <w:sz w:val="26"/>
          <w:rtl w:val="1"/>
        </w:rPr>
        <w:t>Current-State User Flows &amp; Journey Reconstruction</w:t>
      </w:r>
    </w:p>
    <w:tbl>
      <w:tblPr>
        <w:tblW w:type="auto" w:w="0"/>
        <w:jc w:val="center"/>
        <w:tblLayout w:type="fixed"/>
        <w:tblLook w:firstColumn="1" w:firstRow="1" w:lastColumn="0" w:lastRow="0" w:noHBand="0" w:noVBand="1" w:val="04A0"/>
      </w:tblPr>
      <w:tblGrid>
        <w:gridCol w:w="10482"/>
      </w:tblGrid>
      <w:tr>
        <w:tc>
          <w:tcPr>
            <w:tcW w:type="dxa" w:w="9354"/>
            <w:shd w:fill="FDF2F8"/>
            <w:tcMar>
              <w:top w:w="180" w:type="dxa"/>
              <w:start w:w="220" w:type="dxa"/>
              <w:bottom w:w="180" w:type="dxa"/>
              <w:end w:w="220" w:type="dxa"/>
            </w:tcMar>
          </w:tcPr>
          <w:p>
            <w:pPr>
              <w:spacing w:after="80"/>
              <w:jc w:val="right"/>
              <w:bidi w:val="1"/>
            </w:pPr>
            <w:r>
              <w:rPr>
                <w:rFonts w:ascii="Vazirmatn" w:hAnsi="Vazirmatn" w:cs="Vazirmatn" w:eastAsia="Vazirmatn"/>
                <w:b/>
                <w:color w:val="9D174D"/>
                <w:sz w:val="22"/>
                <w:rtl w:val="1"/>
              </w:rPr>
              <w:t>خلاصه یک‌خطی</w:t>
            </w:r>
          </w:p>
          <w:p>
            <w:pPr>
              <w:spacing w:after="0" w:line="276" w:lineRule="auto"/>
              <w:jc w:val="right"/>
              <w:bidi w:val="1"/>
            </w:pPr>
            <w:r>
              <w:rPr>
                <w:rFonts w:ascii="Vazirmatn" w:hAnsi="Vazirmatn" w:cs="Vazirmatn" w:eastAsia="Vazirmatn"/>
                <w:color w:val="1F2937"/>
                <w:sz w:val="20"/>
                <w:rtl w:val="1"/>
              </w:rPr>
              <w:t>در سؤال اول هنوز قرار نیست راه‌حل انتخاب کنیم. هدف این است که از روی شواهد موجود، مسیر واقعی و قابل دفاع کاربر را از «نیاز» تا «خرید، تجربه محصول و خرید مجدد» بازسازی کنیم و دقیقاً مشخص کنیم کجا مشاهده مستقیم داریم و کجا صرفاً استنتاج تحلیلی داریم.</w:t>
            </w:r>
          </w:p>
        </w:tc>
      </w:tr>
    </w:tbl>
    <w:p>
      <w:pPr>
        <w:spacing w:after="20"/>
      </w:pP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551"/>
            <w:shd w:fill="172033"/>
            <w:tcMar>
              <w:top w:w="120" w:type="dxa"/>
              <w:start w:w="130" w:type="dxa"/>
              <w:bottom w:w="120" w:type="dxa"/>
              <w:end w:w="130" w:type="dxa"/>
            </w:tcMar>
          </w:tcPr>
          <w:p>
            <w:pPr>
              <w:jc w:val="center"/>
              <w:bidi w:val="1"/>
            </w:pPr>
            <w:r>
              <w:rPr>
                <w:rFonts w:ascii="Vazirmatn" w:hAnsi="Vazirmatn" w:cs="Vazirmatn" w:eastAsia="Vazirmatn"/>
                <w:b/>
                <w:color w:val="FFFFFF"/>
                <w:sz w:val="18"/>
                <w:rtl w:val="1"/>
              </w:rPr>
              <w:t>وضعیت پاسخ</w:t>
            </w:r>
          </w:p>
        </w:tc>
        <w:tc>
          <w:tcPr>
            <w:tcW w:type="dxa" w:w="1417"/>
            <w:shd w:fill="172033"/>
            <w:tcMar>
              <w:top w:w="120" w:type="dxa"/>
              <w:start w:w="130" w:type="dxa"/>
              <w:bottom w:w="12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20" w:type="dxa"/>
              <w:start w:w="130" w:type="dxa"/>
              <w:bottom w:w="120" w:type="dxa"/>
              <w:end w:w="130" w:type="dxa"/>
            </w:tcMar>
          </w:tcPr>
          <w:p>
            <w:pPr>
              <w:jc w:val="center"/>
              <w:bidi w:val="1"/>
            </w:pPr>
            <w:r>
              <w:rPr>
                <w:rFonts w:ascii="Vazirmatn" w:hAnsi="Vazirmatn" w:cs="Vazirmatn" w:eastAsia="Vazirmatn"/>
                <w:b/>
                <w:color w:val="FFFFFF"/>
                <w:sz w:val="18"/>
                <w:rtl w:val="1"/>
              </w:rPr>
              <w:t>Confidence</w:t>
            </w:r>
          </w:p>
        </w:tc>
        <w:tc>
          <w:tcPr>
            <w:tcW w:type="dxa" w:w="2835"/>
            <w:shd w:fill="172033"/>
            <w:tcMar>
              <w:top w:w="120" w:type="dxa"/>
              <w:start w:w="130" w:type="dxa"/>
              <w:bottom w:w="120" w:type="dxa"/>
              <w:end w:w="130" w:type="dxa"/>
            </w:tcMar>
          </w:tcPr>
          <w:p>
            <w:pPr>
              <w:jc w:val="center"/>
              <w:bidi w:val="1"/>
            </w:pPr>
            <w:r>
              <w:rPr>
                <w:rFonts w:ascii="Vazirmatn" w:hAnsi="Vazirmatn" w:cs="Vazirmatn" w:eastAsia="Vazirmatn"/>
                <w:b/>
                <w:color w:val="FFFFFF"/>
                <w:sz w:val="18"/>
                <w:rtl w:val="1"/>
              </w:rPr>
              <w:t>روش</w:t>
            </w:r>
          </w:p>
        </w:tc>
      </w:tr>
      <w:tr>
        <w:tc>
          <w:tcPr>
            <w:tcW w:type="dxa" w:w="2551"/>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8"/>
                <w:rtl w:val="1"/>
              </w:rPr>
              <w:t>قابل استفاده برای تصمیم بعدی</w:t>
            </w:r>
          </w:p>
        </w:tc>
        <w:tc>
          <w:tcPr>
            <w:tcW w:type="dxa" w:w="1417"/>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8"/>
                <w:rtl w:val="1"/>
              </w:rPr>
              <w:t>A</w:t>
            </w:r>
          </w:p>
        </w:tc>
        <w:tc>
          <w:tcPr>
            <w:tcW w:type="dxa" w:w="170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8"/>
                <w:rtl w:val="1"/>
              </w:rPr>
              <w:t>84 / 100</w:t>
            </w:r>
          </w:p>
        </w:tc>
        <w:tc>
          <w:tcPr>
            <w:tcW w:type="dxa" w:w="283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8"/>
                <w:rtl w:val="1"/>
              </w:rPr>
              <w:t>DECAF Quantification v1.0</w:t>
            </w:r>
          </w:p>
        </w:tc>
      </w:tr>
    </w:tbl>
    <w:p>
      <w:pPr>
        <w:spacing w:after="40"/>
      </w:pPr>
    </w:p>
    <w:p>
      <w:pPr>
        <w:spacing w:before="0" w:after="160" w:line="276" w:lineRule="auto"/>
        <w:jc w:val="right"/>
        <w:bidi w:val="1"/>
      </w:pPr>
      <w:r>
        <w:rPr>
          <w:rFonts w:ascii="Vazirmatn" w:hAnsi="Vazirmatn" w:cs="Vazirmatn" w:eastAsia="Vazirmatn"/>
          <w:b w:val="0"/>
          <w:color w:val="4B5563"/>
          <w:sz w:val="19"/>
          <w:rtl w:val="1"/>
        </w:rPr>
        <w:t>این ۸۴٪ «نرخ تکمیل پروژه» یا «احتمال درستی Flow» نیست؛ نمره Confidence تصمیمی است که بر اساس کیفیت شواهد، پوشش داده‌های لازم، مثلث‌سازی، میزان وابستگی به فرض و حساسیت به داده‌های گمشده ساخته شده است.</w:t>
      </w:r>
    </w:p>
    <w:p>
      <w:pPr>
        <w:spacing w:before="200" w:after="100"/>
        <w:jc w:val="right"/>
        <w:bidi w:val="1"/>
      </w:pPr>
      <w:r>
        <w:rPr>
          <w:rFonts w:ascii="Vazirmatn" w:hAnsi="Vazirmatn" w:cs="Vazirmatn" w:eastAsia="Vazirmatn"/>
          <w:b/>
          <w:color w:val="162037"/>
          <w:sz w:val="34"/>
          <w:rtl w:val="1"/>
        </w:rPr>
        <w:t>۱. روایت فصل — در این مرحله چه اتفاقی افتاد؟</w:t>
      </w:r>
    </w:p>
    <w:p>
      <w:pPr>
        <w:spacing w:before="0" w:after="100" w:line="276" w:lineRule="auto"/>
        <w:jc w:val="right"/>
        <w:bidi w:val="1"/>
      </w:pPr>
      <w:r>
        <w:rPr>
          <w:rFonts w:ascii="Vazirmatn" w:hAnsi="Vazirmatn" w:cs="Vazirmatn" w:eastAsia="Vazirmatn"/>
          <w:b w:val="0"/>
          <w:sz w:val="21"/>
          <w:rtl w:val="1"/>
        </w:rPr>
        <w:t>برای پاسخ به سؤال ۱، Journey را از روی یک Funnel عمومی فروشگاه اینترنتی حدس نزدیم. ابتدا رفتار گزارش‌شده خریداران اخیر را خواندیم، بعد مسیر خروج و جایگزین‌های Never/Lapsed را اضافه کردیم، سپس تم‌های Voice of Customer و مشاهده UX لندینگ، چت‌بات و مسیر خرید را برای Cross-check به کار بردیم. نتیجه یک Current-State Journey است که Transaction را از Evaluation جدا می‌کند و نشان می‌دهد بیشترین سیگنال فعلی اصطکاک، قبل از تکمیل تصمیم خرید دیده می‌شود؛ نه اینکه از همین حالا یک Feature خاص را اثبات کند.</w:t>
      </w:r>
    </w:p>
    <w:tbl>
      <w:tblPr>
        <w:tblW w:type="auto" w:w="0"/>
        <w:jc w:val="center"/>
        <w:tblLayout w:type="fixed"/>
        <w:tblLook w:firstColumn="1" w:firstRow="1" w:lastColumn="0" w:lastRow="0" w:noHBand="0" w:noVBand="1" w:val="04A0"/>
      </w:tblPr>
      <w:tblGrid>
        <w:gridCol w:w="10482"/>
      </w:tblGrid>
      <w:tr>
        <w:tc>
          <w:tcPr>
            <w:tcW w:type="dxa" w:w="9354"/>
            <w:shd w:fill="EEF2FF"/>
            <w:tcMar>
              <w:top w:w="180" w:type="dxa"/>
              <w:start w:w="220" w:type="dxa"/>
              <w:bottom w:w="180" w:type="dxa"/>
              <w:end w:w="220" w:type="dxa"/>
            </w:tcMar>
          </w:tcPr>
          <w:p>
            <w:pPr>
              <w:spacing w:after="80"/>
              <w:jc w:val="right"/>
              <w:bidi w:val="1"/>
            </w:pPr>
            <w:r>
              <w:rPr>
                <w:rFonts w:ascii="Vazirmatn" w:hAnsi="Vazirmatn" w:cs="Vazirmatn" w:eastAsia="Vazirmatn"/>
                <w:b/>
                <w:color w:val="312E81"/>
                <w:sz w:val="22"/>
                <w:rtl w:val="1"/>
              </w:rPr>
              <w:t>اصل پژوهشی فصل</w:t>
            </w:r>
          </w:p>
          <w:p>
            <w:pPr>
              <w:spacing w:after="0" w:line="276" w:lineRule="auto"/>
              <w:jc w:val="right"/>
              <w:bidi w:val="1"/>
            </w:pPr>
            <w:r>
              <w:rPr>
                <w:rFonts w:ascii="Vazirmatn" w:hAnsi="Vazirmatn" w:cs="Vazirmatn" w:eastAsia="Vazirmatn"/>
                <w:color w:val="1F2937"/>
                <w:sz w:val="20"/>
                <w:rtl w:val="1"/>
              </w:rPr>
              <w:t>Flow قابل مشاهده، Flow گزارش‌شده و Flow استنتاجی سه چیز متفاوت‌اند. در این سند این سه سطح با هم مخلوط نمی‌شوند.</w:t>
            </w:r>
          </w:p>
        </w:tc>
      </w:tr>
    </w:tbl>
    <w:p>
      <w:pPr>
        <w:spacing w:after="20"/>
      </w:pPr>
    </w:p>
    <w:p>
      <w:pPr>
        <w:spacing w:before="200" w:after="100"/>
        <w:jc w:val="right"/>
        <w:bidi w:val="1"/>
      </w:pPr>
      <w:r>
        <w:rPr>
          <w:rFonts w:ascii="Vazirmatn" w:hAnsi="Vazirmatn" w:cs="Vazirmatn" w:eastAsia="Vazirmatn"/>
          <w:b/>
          <w:color w:val="162037"/>
          <w:sz w:val="34"/>
          <w:rtl w:val="1"/>
        </w:rPr>
        <w:t>۲. سؤال تصمیمی</w:t>
      </w:r>
    </w:p>
    <w:p>
      <w:pPr>
        <w:spacing w:before="0" w:after="100" w:line="276" w:lineRule="auto"/>
        <w:jc w:val="right"/>
        <w:bidi w:val="1"/>
      </w:pPr>
      <w:r>
        <w:rPr>
          <w:rFonts w:ascii="Vazirmatn" w:hAnsi="Vazirmatn" w:cs="Vazirmatn" w:eastAsia="Vazirmatn"/>
          <w:b w:val="0"/>
          <w:sz w:val="21"/>
          <w:rtl w:val="1"/>
        </w:rPr>
        <w:t>آیا با داده‌های فعلی می‌توانیم مسیرهای اصلی کاربر خانومی را به اندازه کافی دقیق بازسازی کنیم که در مراحل بعدی، Problem Discovery و Prioritization روی یک نقشه معتبر از تجربه فعلی بنا شوند؟</w:t>
      </w:r>
    </w:p>
    <w:p>
      <w:pPr>
        <w:spacing w:before="200" w:after="100"/>
        <w:jc w:val="right"/>
        <w:bidi w:val="1"/>
      </w:pPr>
      <w:r>
        <w:rPr>
          <w:rFonts w:ascii="Vazirmatn" w:hAnsi="Vazirmatn" w:cs="Vazirmatn" w:eastAsia="Vazirmatn"/>
          <w:b/>
          <w:color w:val="162037"/>
          <w:sz w:val="34"/>
          <w:rtl w:val="1"/>
        </w:rPr>
        <w:t>۳. مرز پاسخ</w:t>
      </w:r>
    </w:p>
    <w:p>
      <w:pPr>
        <w:spacing w:after="60"/>
        <w:ind w:left="0" w:right="0"/>
        <w:jc w:val="right"/>
        <w:bidi w:val="1"/>
      </w:pPr>
      <w:r>
        <w:rPr>
          <w:rFonts w:ascii="Vazirmatn" w:hAnsi="Vazirmatn" w:cs="Vazirmatn" w:eastAsia="Vazirmatn"/>
          <w:color w:val="1F2937"/>
          <w:sz w:val="20"/>
          <w:rtl w:val="1"/>
        </w:rPr>
        <w:t>• این فصل Current State را توضیح می‌دهد؛ Solution انتخاب نمی‌کند.</w:t>
      </w:r>
    </w:p>
    <w:p>
      <w:pPr>
        <w:spacing w:after="60"/>
        <w:ind w:left="0" w:right="0"/>
        <w:jc w:val="right"/>
        <w:bidi w:val="1"/>
      </w:pPr>
      <w:r>
        <w:rPr>
          <w:rFonts w:ascii="Vazirmatn" w:hAnsi="Vazirmatn" w:cs="Vazirmatn" w:eastAsia="Vazirmatn"/>
          <w:color w:val="1F2937"/>
          <w:sz w:val="20"/>
          <w:rtl w:val="1"/>
        </w:rPr>
        <w:t>• این فصل می‌تواند وجود مراحل و مسیرهای اصلی را بازسازی کند؛ اما بدون Product Analytics درباره نرخ Drop-off، Frequency یا سهم هر مسیر در کل کاربران ادعای قطعی نمی‌کند.</w:t>
      </w:r>
    </w:p>
    <w:p>
      <w:pPr>
        <w:spacing w:after="60"/>
        <w:ind w:left="0" w:right="0"/>
        <w:jc w:val="right"/>
        <w:bidi w:val="1"/>
      </w:pPr>
      <w:r>
        <w:rPr>
          <w:rFonts w:ascii="Vazirmatn" w:hAnsi="Vazirmatn" w:cs="Vazirmatn" w:eastAsia="Vazirmatn"/>
          <w:color w:val="1F2937"/>
          <w:sz w:val="20"/>
          <w:rtl w:val="1"/>
        </w:rPr>
        <w:t>• Surveyها نمونه Convenience هستند؛ درصدهای آن‌ها فقط توصیف همان نمونه‌اند، نه برآورد جمعیت کاربران خانومی.</w:t>
      </w:r>
    </w:p>
    <w:p>
      <w:pPr>
        <w:spacing w:after="60"/>
        <w:ind w:left="0" w:right="0"/>
        <w:jc w:val="right"/>
        <w:bidi w:val="1"/>
      </w:pPr>
      <w:r>
        <w:rPr>
          <w:rFonts w:ascii="Vazirmatn" w:hAnsi="Vazirmatn" w:cs="Vazirmatn" w:eastAsia="Vazirmatn"/>
          <w:color w:val="1F2937"/>
          <w:sz w:val="20"/>
          <w:rtl w:val="1"/>
        </w:rPr>
        <w:t>• UX Review مشاهده کارشناسی است؛ جای Usability Test مشاهده‌ای با کاربر واقعی را نمی‌گیرد.</w:t>
      </w:r>
    </w:p>
    <w:p>
      <w:pPr>
        <w:spacing w:before="200" w:after="100"/>
        <w:jc w:val="right"/>
        <w:bidi w:val="1"/>
      </w:pPr>
      <w:r>
        <w:rPr>
          <w:rFonts w:ascii="Vazirmatn" w:hAnsi="Vazirmatn" w:cs="Vazirmatn" w:eastAsia="Vazirmatn"/>
          <w:b/>
          <w:color w:val="162037"/>
          <w:sz w:val="34"/>
          <w:rtl w:val="1"/>
        </w:rPr>
        <w:t>۴. Evidence Base و نقش هر منبع</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438"/>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منبع</w:t>
            </w:r>
          </w:p>
        </w:tc>
        <w:tc>
          <w:tcPr>
            <w:tcW w:type="dxa" w:w="1871"/>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حجم / پوشش</w:t>
            </w:r>
          </w:p>
        </w:tc>
        <w:tc>
          <w:tcPr>
            <w:tcW w:type="dxa" w:w="2948"/>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نقش در Q1</w:t>
            </w:r>
          </w:p>
        </w:tc>
        <w:tc>
          <w:tcPr>
            <w:tcW w:type="dxa" w:w="2665"/>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محدودیت</w:t>
            </w:r>
          </w:p>
        </w:tc>
      </w:tr>
      <w:tr>
        <w:tc>
          <w:tcPr>
            <w:tcW w:type="dxa" w:w="2438"/>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Survey خریداران اخیر</w:t>
            </w:r>
          </w:p>
        </w:tc>
        <w:tc>
          <w:tcPr>
            <w:tcW w:type="dxa" w:w="187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n=46</w:t>
            </w:r>
          </w:p>
        </w:tc>
        <w:tc>
          <w:tcPr>
            <w:tcW w:type="dxa" w:w="294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Trigger، Evaluation، Decision، Checkout، Fulfillment، Repurchase</w:t>
            </w:r>
          </w:p>
        </w:tc>
        <w:tc>
          <w:tcPr>
            <w:tcW w:type="dxa" w:w="266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Self-report و نمونه غیرتصادفی</w:t>
            </w:r>
          </w:p>
        </w:tc>
      </w:tr>
      <w:tr>
        <w:tc>
          <w:tcPr>
            <w:tcW w:type="dxa" w:w="2438"/>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Survey Never/Lapsed</w:t>
            </w:r>
          </w:p>
        </w:tc>
        <w:tc>
          <w:tcPr>
            <w:tcW w:type="dxa" w:w="187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n=28؛ 17 Never + 11 Lapsed</w:t>
            </w:r>
          </w:p>
        </w:tc>
        <w:tc>
          <w:tcPr>
            <w:tcW w:type="dxa" w:w="294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مسیر خروج، جایگزین‌ها و مانع ورود/بازگشت</w:t>
            </w:r>
          </w:p>
        </w:tc>
        <w:tc>
          <w:tcPr>
            <w:tcW w:type="dxa" w:w="266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نمونه کوچک و Convenience</w:t>
            </w:r>
          </w:p>
        </w:tc>
      </w:tr>
      <w:tr>
        <w:tc>
          <w:tcPr>
            <w:tcW w:type="dxa" w:w="2438"/>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VOC تمیزشده</w:t>
            </w:r>
          </w:p>
        </w:tc>
        <w:tc>
          <w:tcPr>
            <w:tcW w:type="dxa" w:w="187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39,737 کامنت؛ 4,023 Problem-tagged</w:t>
            </w:r>
          </w:p>
        </w:tc>
        <w:tc>
          <w:tcPr>
            <w:tcW w:type="dxa" w:w="294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Cross-check تم‌های تجربه و مسئله</w:t>
            </w:r>
          </w:p>
        </w:tc>
        <w:tc>
          <w:tcPr>
            <w:tcW w:type="dxa" w:w="266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کامنت‌نویسان نماینده کل مشتریان نیستند</w:t>
            </w:r>
          </w:p>
        </w:tc>
      </w:tr>
      <w:tr>
        <w:tc>
          <w:tcPr>
            <w:tcW w:type="dxa" w:w="2438"/>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VOC خام</w:t>
            </w:r>
          </w:p>
        </w:tc>
        <w:tc>
          <w:tcPr>
            <w:tcW w:type="dxa" w:w="187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76,837 کامنت</w:t>
            </w:r>
          </w:p>
        </w:tc>
        <w:tc>
          <w:tcPr>
            <w:tcW w:type="dxa" w:w="294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Data lineage و کنترل نسخه تحلیل</w:t>
            </w:r>
          </w:p>
        </w:tc>
        <w:tc>
          <w:tcPr>
            <w:tcW w:type="dxa" w:w="266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مبنای مستقیم Theme Frequency نیست</w:t>
            </w:r>
          </w:p>
        </w:tc>
      </w:tr>
      <w:tr>
        <w:tc>
          <w:tcPr>
            <w:tcW w:type="dxa" w:w="2438"/>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UX Review</w:t>
            </w:r>
          </w:p>
        </w:tc>
        <w:tc>
          <w:tcPr>
            <w:tcW w:type="dxa" w:w="187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Landing + Chatbot + Purchase Flow</w:t>
            </w:r>
          </w:p>
        </w:tc>
        <w:tc>
          <w:tcPr>
            <w:tcW w:type="dxa" w:w="294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معماری مشاهده‌پذیر Flow و نقاط تعامل</w:t>
            </w:r>
          </w:p>
        </w:tc>
        <w:tc>
          <w:tcPr>
            <w:tcW w:type="dxa" w:w="266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Expert observation، نه usability test</w:t>
            </w:r>
          </w:p>
        </w:tc>
      </w:tr>
      <w:tr>
        <w:tc>
          <w:tcPr>
            <w:tcW w:type="dxa" w:w="2438"/>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گزارش‌های مدیریتی/رسمی</w:t>
            </w:r>
          </w:p>
        </w:tc>
        <w:tc>
          <w:tcPr>
            <w:tcW w:type="dxa" w:w="187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context عملیاتی</w:t>
            </w:r>
          </w:p>
        </w:tc>
        <w:tc>
          <w:tcPr>
            <w:tcW w:type="dxa" w:w="294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کنترل اینکه Transaction/Fulfillment را بی‌دلیل Root Problem ننامیم</w:t>
            </w:r>
          </w:p>
        </w:tc>
        <w:tc>
          <w:tcPr>
            <w:tcW w:type="dxa" w:w="266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برای Frequency رفتاری کافی نیست</w:t>
            </w:r>
          </w:p>
        </w:tc>
      </w:tr>
    </w:tbl>
    <w:p>
      <w:pPr>
        <w:spacing w:after="40"/>
      </w:pPr>
    </w:p>
    <w:p>
      <w:pPr>
        <w:spacing w:before="200" w:after="100"/>
        <w:jc w:val="right"/>
        <w:bidi w:val="1"/>
      </w:pPr>
      <w:r>
        <w:rPr>
          <w:rFonts w:ascii="Vazirmatn" w:hAnsi="Vazirmatn" w:cs="Vazirmatn" w:eastAsia="Vazirmatn"/>
          <w:b/>
          <w:color w:val="162037"/>
          <w:sz w:val="34"/>
          <w:rtl w:val="1"/>
        </w:rPr>
        <w:t>۵. Current-State Journey نهایی</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757"/>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مرحله</w:t>
            </w:r>
          </w:p>
        </w:tc>
        <w:tc>
          <w:tcPr>
            <w:tcW w:type="dxa" w:w="2324"/>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سؤال کاربر</w:t>
            </w:r>
          </w:p>
        </w:tc>
        <w:tc>
          <w:tcPr>
            <w:tcW w:type="dxa" w:w="3855"/>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رفتار فعلی قابل بازسازی</w:t>
            </w:r>
          </w:p>
        </w:tc>
        <w:tc>
          <w:tcPr>
            <w:tcW w:type="dxa" w:w="2041"/>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خروجی محتمل</w:t>
            </w:r>
          </w:p>
        </w:tc>
      </w:tr>
      <w:tr>
        <w:tc>
          <w:tcPr>
            <w:tcW w:type="dxa" w:w="1757"/>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۱. Trigger</w:t>
            </w:r>
          </w:p>
        </w:tc>
        <w:tc>
          <w:tcPr>
            <w:tcW w:type="dxa" w:w="2324"/>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الان چه نیازی دارم؟</w:t>
            </w:r>
          </w:p>
        </w:tc>
        <w:tc>
          <w:tcPr>
            <w:tcW w:type="dxa" w:w="385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نیاز محصول، تمام‌شدن محصول، تخفیف، تحقیق/مقایسه</w:t>
            </w:r>
          </w:p>
        </w:tc>
        <w:tc>
          <w:tcPr>
            <w:tcW w:type="dxa" w:w="204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ورود به Discovery یا تعویق</w:t>
            </w:r>
          </w:p>
        </w:tc>
      </w:tr>
      <w:tr>
        <w:tc>
          <w:tcPr>
            <w:tcW w:type="dxa" w:w="1757"/>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۲. Discovery</w:t>
            </w:r>
          </w:p>
        </w:tc>
        <w:tc>
          <w:tcPr>
            <w:tcW w:type="dxa" w:w="2324"/>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چه گزینه‌هایی وجود دارد؟</w:t>
            </w:r>
          </w:p>
        </w:tc>
        <w:tc>
          <w:tcPr>
            <w:tcW w:type="dxa" w:w="385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Home / Search / Category / Campaign / Product List</w:t>
            </w:r>
          </w:p>
        </w:tc>
        <w:tc>
          <w:tcPr>
            <w:tcW w:type="dxa" w:w="204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فهرست گزینه‌ها</w:t>
            </w:r>
          </w:p>
        </w:tc>
      </w:tr>
      <w:tr>
        <w:tc>
          <w:tcPr>
            <w:tcW w:type="dxa" w:w="1757"/>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۳. Evaluation</w:t>
            </w:r>
          </w:p>
        </w:tc>
        <w:tc>
          <w:tcPr>
            <w:tcW w:type="dxa" w:w="2324"/>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کدام گزینه مناسب‌تر است؟</w:t>
            </w:r>
          </w:p>
        </w:tc>
        <w:tc>
          <w:tcPr>
            <w:tcW w:type="dxa" w:w="385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قیمت، تخفیف، Fit، اطلاعات، نظرها، اصالت، موجودی</w:t>
            </w:r>
          </w:p>
        </w:tc>
        <w:tc>
          <w:tcPr>
            <w:tcW w:type="dxa" w:w="204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Confidence یا Doubt</w:t>
            </w:r>
          </w:p>
        </w:tc>
      </w:tr>
      <w:tr>
        <w:tc>
          <w:tcPr>
            <w:tcW w:type="dxa" w:w="1757"/>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۴. Confidence Check</w:t>
            </w:r>
          </w:p>
        </w:tc>
        <w:tc>
          <w:tcPr>
            <w:tcW w:type="dxa" w:w="2324"/>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چطور مطمئن شوم؟</w:t>
            </w:r>
          </w:p>
        </w:tc>
        <w:tc>
          <w:tcPr>
            <w:tcW w:type="dxa" w:w="385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Review، مقایسه بیرونی، سؤال از دیگران، تعویق</w:t>
            </w:r>
          </w:p>
        </w:tc>
        <w:tc>
          <w:tcPr>
            <w:tcW w:type="dxa" w:w="204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Buy / Delay / Exit</w:t>
            </w:r>
          </w:p>
        </w:tc>
      </w:tr>
      <w:tr>
        <w:tc>
          <w:tcPr>
            <w:tcW w:type="dxa" w:w="1757"/>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۵. PDP / Decision</w:t>
            </w:r>
          </w:p>
        </w:tc>
        <w:tc>
          <w:tcPr>
            <w:tcW w:type="dxa" w:w="2324"/>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آیا این SKU را انتخاب کنم؟</w:t>
            </w:r>
          </w:p>
        </w:tc>
        <w:tc>
          <w:tcPr>
            <w:tcW w:type="dxa" w:w="385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مرور جزئیات و تصمیم نهایی</w:t>
            </w:r>
          </w:p>
        </w:tc>
        <w:tc>
          <w:tcPr>
            <w:tcW w:type="dxa" w:w="204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Add to Cart یا خروج</w:t>
            </w:r>
          </w:p>
        </w:tc>
      </w:tr>
      <w:tr>
        <w:tc>
          <w:tcPr>
            <w:tcW w:type="dxa" w:w="1757"/>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۶. Transaction</w:t>
            </w:r>
          </w:p>
        </w:tc>
        <w:tc>
          <w:tcPr>
            <w:tcW w:type="dxa" w:w="2324"/>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چطور خرید را تمام کنم؟</w:t>
            </w:r>
          </w:p>
        </w:tc>
        <w:tc>
          <w:tcPr>
            <w:tcW w:type="dxa" w:w="385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Cart → Login/OTP → Address → Shipping → Payment</w:t>
            </w:r>
          </w:p>
        </w:tc>
        <w:tc>
          <w:tcPr>
            <w:tcW w:type="dxa" w:w="204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Order</w:t>
            </w:r>
          </w:p>
        </w:tc>
      </w:tr>
      <w:tr>
        <w:tc>
          <w:tcPr>
            <w:tcW w:type="dxa" w:w="1757"/>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۷. Fulfillment</w:t>
            </w:r>
          </w:p>
        </w:tc>
        <w:tc>
          <w:tcPr>
            <w:tcW w:type="dxa" w:w="2324"/>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آیا درست و سالم می‌رسد؟</w:t>
            </w:r>
          </w:p>
        </w:tc>
        <w:tc>
          <w:tcPr>
            <w:tcW w:type="dxa" w:w="385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Delivery / Packaging / Match</w:t>
            </w:r>
          </w:p>
        </w:tc>
        <w:tc>
          <w:tcPr>
            <w:tcW w:type="dxa" w:w="204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Receive یا Issue</w:t>
            </w:r>
          </w:p>
        </w:tc>
      </w:tr>
      <w:tr>
        <w:tc>
          <w:tcPr>
            <w:tcW w:type="dxa" w:w="1757"/>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۸. Product Experience</w:t>
            </w:r>
          </w:p>
        </w:tc>
        <w:tc>
          <w:tcPr>
            <w:tcW w:type="dxa" w:w="2324"/>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واقعاً مناسب بود؟</w:t>
            </w:r>
          </w:p>
        </w:tc>
        <w:tc>
          <w:tcPr>
            <w:tcW w:type="dxa" w:w="385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استفاده و ارزیابی Fit/Effect/Texture</w:t>
            </w:r>
          </w:p>
        </w:tc>
        <w:tc>
          <w:tcPr>
            <w:tcW w:type="dxa" w:w="204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Satisfaction یا Mismatch</w:t>
            </w:r>
          </w:p>
        </w:tc>
      </w:tr>
      <w:tr>
        <w:tc>
          <w:tcPr>
            <w:tcW w:type="dxa" w:w="1757"/>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۹. Repurchase / Switching</w:t>
            </w:r>
          </w:p>
        </w:tc>
        <w:tc>
          <w:tcPr>
            <w:tcW w:type="dxa" w:w="2324"/>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دوباره از کجا بخرم؟</w:t>
            </w:r>
          </w:p>
        </w:tc>
        <w:tc>
          <w:tcPr>
            <w:tcW w:type="dxa" w:w="385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یادآوری، بازگشت، تغییر برند/کانال</w:t>
            </w:r>
          </w:p>
        </w:tc>
        <w:tc>
          <w:tcPr>
            <w:tcW w:type="dxa" w:w="204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Repurchase یا Switch</w:t>
            </w:r>
          </w:p>
        </w:tc>
      </w:tr>
    </w:tbl>
    <w:p>
      <w:pPr>
        <w:spacing w:after="40"/>
      </w:pPr>
    </w:p>
    <w:p>
      <w:pPr>
        <w:spacing w:before="200" w:after="100"/>
        <w:jc w:val="right"/>
        <w:bidi w:val="1"/>
      </w:pPr>
      <w:r>
        <w:rPr>
          <w:rFonts w:ascii="Vazirmatn" w:hAnsi="Vazirmatn" w:cs="Vazirmatn" w:eastAsia="Vazirmatn"/>
          <w:b/>
          <w:color w:val="162037"/>
          <w:sz w:val="34"/>
          <w:rtl w:val="1"/>
        </w:rPr>
        <w:t>۶. چهار مسیر اصلی که از شواهد استخراج می‌شوند</w:t>
      </w:r>
    </w:p>
    <w:tbl>
      <w:tblPr>
        <w:tblW w:type="auto" w:w="0"/>
        <w:jc w:val="center"/>
        <w:tblLayout w:type="fixed"/>
        <w:tblLook w:firstColumn="1" w:firstRow="1" w:lastColumn="0" w:lastRow="0" w:noHBand="0" w:noVBand="1" w:val="04A0"/>
      </w:tblPr>
      <w:tblGrid>
        <w:gridCol w:w="10482"/>
      </w:tblGrid>
      <w:tr>
        <w:tc>
          <w:tcPr>
            <w:tcW w:type="dxa" w:w="9354"/>
            <w:shd w:fill="F8FAFC"/>
            <w:tcMar>
              <w:top w:w="180" w:type="dxa"/>
              <w:start w:w="220" w:type="dxa"/>
              <w:bottom w:w="180" w:type="dxa"/>
              <w:end w:w="220" w:type="dxa"/>
            </w:tcMar>
          </w:tcPr>
          <w:p>
            <w:pPr>
              <w:spacing w:after="80"/>
              <w:jc w:val="right"/>
              <w:bidi w:val="1"/>
            </w:pPr>
            <w:r>
              <w:rPr>
                <w:rFonts w:ascii="Vazirmatn" w:hAnsi="Vazirmatn" w:cs="Vazirmatn" w:eastAsia="Vazirmatn"/>
                <w:b/>
                <w:color w:val="162037"/>
                <w:sz w:val="22"/>
                <w:rtl w:val="1"/>
              </w:rPr>
              <w:t>Flow A — کاربر با محصول مشخص</w:t>
            </w:r>
          </w:p>
          <w:p>
            <w:pPr>
              <w:spacing w:after="0" w:line="276" w:lineRule="auto"/>
              <w:jc w:val="right"/>
              <w:bidi w:val="1"/>
            </w:pPr>
            <w:r>
              <w:rPr>
                <w:rFonts w:ascii="Vazirmatn" w:hAnsi="Vazirmatn" w:cs="Vazirmatn" w:eastAsia="Vazirmatn"/>
                <w:color w:val="1F2937"/>
                <w:sz w:val="20"/>
                <w:rtl w:val="1"/>
              </w:rPr>
              <w:t>Need / Trigger → Search → Product List → PDP → Review / Price / Product Info → Add to Cart → Login / OTP → Address → Shipping → Payment → Order</w:t>
            </w:r>
          </w:p>
        </w:tc>
      </w:tr>
    </w:tbl>
    <w:p>
      <w:pPr>
        <w:spacing w:after="20"/>
      </w:pPr>
    </w:p>
    <w:tbl>
      <w:tblPr>
        <w:tblW w:type="auto" w:w="0"/>
        <w:jc w:val="center"/>
        <w:tblLayout w:type="fixed"/>
        <w:tblLook w:firstColumn="1" w:firstRow="1" w:lastColumn="0" w:lastRow="0" w:noHBand="0" w:noVBand="1" w:val="04A0"/>
      </w:tblPr>
      <w:tblGrid>
        <w:gridCol w:w="10482"/>
      </w:tblGrid>
      <w:tr>
        <w:tc>
          <w:tcPr>
            <w:tcW w:type="dxa" w:w="9354"/>
            <w:shd w:fill="FDF2F8"/>
            <w:tcMar>
              <w:top w:w="180" w:type="dxa"/>
              <w:start w:w="220" w:type="dxa"/>
              <w:bottom w:w="180" w:type="dxa"/>
              <w:end w:w="220" w:type="dxa"/>
            </w:tcMar>
          </w:tcPr>
          <w:p>
            <w:pPr>
              <w:spacing w:after="80"/>
              <w:jc w:val="right"/>
              <w:bidi w:val="1"/>
            </w:pPr>
            <w:r>
              <w:rPr>
                <w:rFonts w:ascii="Vazirmatn" w:hAnsi="Vazirmatn" w:cs="Vazirmatn" w:eastAsia="Vazirmatn"/>
                <w:b/>
                <w:color w:val="9D174D"/>
                <w:sz w:val="22"/>
                <w:rtl w:val="1"/>
              </w:rPr>
              <w:t>Flow B — کاربر با نیاز، بدون SKU مشخص</w:t>
            </w:r>
          </w:p>
          <w:p>
            <w:pPr>
              <w:spacing w:after="0" w:line="276" w:lineRule="auto"/>
              <w:jc w:val="right"/>
              <w:bidi w:val="1"/>
            </w:pPr>
            <w:r>
              <w:rPr>
                <w:rFonts w:ascii="Vazirmatn" w:hAnsi="Vazirmatn" w:cs="Vazirmatn" w:eastAsia="Vazirmatn"/>
                <w:color w:val="1F2937"/>
                <w:sz w:val="20"/>
                <w:rtl w:val="1"/>
              </w:rPr>
              <w:t>Need → Home / Category / Search → Browse → Compare → Reviews / Product Info → Confidence Check → PDP → Cart → Checkout</w:t>
            </w:r>
          </w:p>
        </w:tc>
      </w:tr>
    </w:tbl>
    <w:p>
      <w:pPr>
        <w:spacing w:after="20"/>
      </w:pPr>
    </w:p>
    <w:tbl>
      <w:tblPr>
        <w:tblW w:type="auto" w:w="0"/>
        <w:jc w:val="center"/>
        <w:tblLayout w:type="fixed"/>
        <w:tblLook w:firstColumn="1" w:firstRow="1" w:lastColumn="0" w:lastRow="0" w:noHBand="0" w:noVBand="1" w:val="04A0"/>
      </w:tblPr>
      <w:tblGrid>
        <w:gridCol w:w="10482"/>
      </w:tblGrid>
      <w:tr>
        <w:tc>
          <w:tcPr>
            <w:tcW w:type="dxa" w:w="9354"/>
            <w:shd w:fill="FFF7ED"/>
            <w:tcMar>
              <w:top w:w="180" w:type="dxa"/>
              <w:start w:w="220" w:type="dxa"/>
              <w:bottom w:w="180" w:type="dxa"/>
              <w:end w:w="220" w:type="dxa"/>
            </w:tcMar>
          </w:tcPr>
          <w:p>
            <w:pPr>
              <w:spacing w:after="80"/>
              <w:jc w:val="right"/>
              <w:bidi w:val="1"/>
            </w:pPr>
            <w:r>
              <w:rPr>
                <w:rFonts w:ascii="Vazirmatn" w:hAnsi="Vazirmatn" w:cs="Vazirmatn" w:eastAsia="Vazirmatn"/>
                <w:b/>
                <w:color w:val="9A3412"/>
                <w:sz w:val="22"/>
                <w:rtl w:val="1"/>
              </w:rPr>
              <w:t>Flow C — ورود کمپینی / تخفیفی</w:t>
            </w:r>
          </w:p>
          <w:p>
            <w:pPr>
              <w:spacing w:after="0" w:line="276" w:lineRule="auto"/>
              <w:jc w:val="right"/>
              <w:bidi w:val="1"/>
            </w:pPr>
            <w:r>
              <w:rPr>
                <w:rFonts w:ascii="Vazirmatn" w:hAnsi="Vazirmatn" w:cs="Vazirmatn" w:eastAsia="Vazirmatn"/>
                <w:color w:val="1F2937"/>
                <w:sz w:val="20"/>
                <w:rtl w:val="1"/>
              </w:rPr>
              <w:t>Campaign / Promotion → Landing → Product List → PDP → Price / Discount Evaluation → Cart → Checkout</w:t>
            </w:r>
          </w:p>
        </w:tc>
      </w:tr>
    </w:tbl>
    <w:p>
      <w:pPr>
        <w:spacing w:after="20"/>
      </w:pPr>
    </w:p>
    <w:tbl>
      <w:tblPr>
        <w:tblW w:type="auto" w:w="0"/>
        <w:jc w:val="center"/>
        <w:tblLayout w:type="fixed"/>
        <w:tblLook w:firstColumn="1" w:firstRow="1" w:lastColumn="0" w:lastRow="0" w:noHBand="0" w:noVBand="1" w:val="04A0"/>
      </w:tblPr>
      <w:tblGrid>
        <w:gridCol w:w="10482"/>
      </w:tblGrid>
      <w:tr>
        <w:tc>
          <w:tcPr>
            <w:tcW w:type="dxa" w:w="9354"/>
            <w:shd w:fill="F0FDFA"/>
            <w:tcMar>
              <w:top w:w="180" w:type="dxa"/>
              <w:start w:w="220" w:type="dxa"/>
              <w:bottom w:w="180" w:type="dxa"/>
              <w:end w:w="220" w:type="dxa"/>
            </w:tcMar>
          </w:tcPr>
          <w:p>
            <w:pPr>
              <w:spacing w:after="80"/>
              <w:jc w:val="right"/>
              <w:bidi w:val="1"/>
            </w:pPr>
            <w:r>
              <w:rPr>
                <w:rFonts w:ascii="Vazirmatn" w:hAnsi="Vazirmatn" w:cs="Vazirmatn" w:eastAsia="Vazirmatn"/>
                <w:b/>
                <w:color w:val="0F766E"/>
                <w:sz w:val="22"/>
                <w:rtl w:val="1"/>
              </w:rPr>
              <w:t>Flow D — کمک و پشتیبانی</w:t>
            </w:r>
          </w:p>
          <w:p>
            <w:pPr>
              <w:spacing w:after="0" w:line="276" w:lineRule="auto"/>
              <w:jc w:val="right"/>
              <w:bidi w:val="1"/>
            </w:pPr>
            <w:r>
              <w:rPr>
                <w:rFonts w:ascii="Vazirmatn" w:hAnsi="Vazirmatn" w:cs="Vazirmatn" w:eastAsia="Vazirmatn"/>
                <w:color w:val="1F2937"/>
                <w:sz w:val="20"/>
                <w:rtl w:val="1"/>
              </w:rPr>
              <w:t>Question / Problem → Chatbot → FAQ / Routing → Answer یا Human Handoff → بازگشت به Shopping / Support</w:t>
            </w:r>
          </w:p>
        </w:tc>
      </w:tr>
    </w:tbl>
    <w:p>
      <w:pPr>
        <w:spacing w:after="20"/>
      </w:pPr>
    </w:p>
    <w:tbl>
      <w:tblPr>
        <w:tblW w:type="auto" w:w="0"/>
        <w:jc w:val="center"/>
        <w:tblLayout w:type="fixed"/>
        <w:tblLook w:firstColumn="1" w:firstRow="1" w:lastColumn="0" w:lastRow="0" w:noHBand="0" w:noVBand="1" w:val="04A0"/>
      </w:tblPr>
      <w:tblGrid>
        <w:gridCol w:w="10482"/>
      </w:tblGrid>
      <w:tr>
        <w:tc>
          <w:tcPr>
            <w:tcW w:type="dxa" w:w="9354"/>
            <w:shd w:fill="F3F4F6"/>
            <w:tcMar>
              <w:top w:w="180" w:type="dxa"/>
              <w:start w:w="220" w:type="dxa"/>
              <w:bottom w:w="180" w:type="dxa"/>
              <w:end w:w="220" w:type="dxa"/>
            </w:tcMar>
          </w:tcPr>
          <w:p>
            <w:pPr>
              <w:spacing w:after="80"/>
              <w:jc w:val="right"/>
              <w:bidi w:val="1"/>
            </w:pPr>
            <w:r>
              <w:rPr>
                <w:rFonts w:ascii="Vazirmatn" w:hAnsi="Vazirmatn" w:cs="Vazirmatn" w:eastAsia="Vazirmatn"/>
                <w:b/>
                <w:color w:val="374151"/>
                <w:sz w:val="22"/>
                <w:rtl w:val="1"/>
              </w:rPr>
              <w:t>Flow E — حلقه پس از خرید</w:t>
            </w:r>
          </w:p>
          <w:p>
            <w:pPr>
              <w:spacing w:after="0" w:line="276" w:lineRule="auto"/>
              <w:jc w:val="right"/>
              <w:bidi w:val="1"/>
            </w:pPr>
            <w:r>
              <w:rPr>
                <w:rFonts w:ascii="Vazirmatn" w:hAnsi="Vazirmatn" w:cs="Vazirmatn" w:eastAsia="Vazirmatn"/>
                <w:color w:val="1F2937"/>
                <w:sz w:val="20"/>
                <w:rtl w:val="1"/>
              </w:rPr>
              <w:t>Purchase → Delivery → Product Experience → Satisfaction / Dissatisfaction → Repurchase / Alternative / Switching</w:t>
            </w:r>
          </w:p>
        </w:tc>
      </w:tr>
    </w:tbl>
    <w:p>
      <w:pPr>
        <w:spacing w:after="20"/>
      </w:pPr>
    </w:p>
    <w:p>
      <w:pPr>
        <w:spacing w:before="200" w:after="100"/>
        <w:jc w:val="right"/>
        <w:bidi w:val="1"/>
      </w:pPr>
      <w:r>
        <w:rPr>
          <w:rFonts w:ascii="Vazirmatn" w:hAnsi="Vazirmatn" w:cs="Vazirmatn" w:eastAsia="Vazirmatn"/>
          <w:b/>
          <w:color w:val="162037"/>
          <w:sz w:val="34"/>
          <w:rtl w:val="1"/>
        </w:rPr>
        <w:t>۷. سیگنال‌های رفتاری کلیدی که شکل Journey را توضیح می‌دهند</w:t>
      </w:r>
    </w:p>
    <w:tbl>
      <w:tblPr>
        <w:tblStyle w:val="TableGrid"/>
        <w:tblW w:type="auto" w:w="0"/>
        <w:jc w:val="center"/>
        <w:tblLook w:firstColumn="1" w:firstRow="1" w:lastColumn="0" w:lastRow="0" w:noHBand="0" w:noVBand="1" w:val="04A0"/>
      </w:tblPr>
      <w:tblGrid>
        <w:gridCol w:w="3494"/>
        <w:gridCol w:w="3494"/>
        <w:gridCol w:w="3494"/>
      </w:tblGrid>
      <w:tr>
        <w:tc>
          <w:tcPr>
            <w:tcW w:type="dxa" w:w="2551"/>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سیگنال</w:t>
            </w:r>
          </w:p>
        </w:tc>
        <w:tc>
          <w:tcPr>
            <w:tcW w:type="dxa" w:w="3402"/>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داده موجود</w:t>
            </w:r>
          </w:p>
        </w:tc>
        <w:tc>
          <w:tcPr>
            <w:tcW w:type="dxa" w:w="3969"/>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برداشت مجاز</w:t>
            </w:r>
          </w:p>
        </w:tc>
      </w:tr>
      <w:tr>
        <w:tc>
          <w:tcPr>
            <w:tcW w:type="dxa" w:w="2551"/>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سخت‌ترین بخش مراجعه</w:t>
            </w:r>
          </w:p>
        </w:tc>
        <w:tc>
          <w:tcPr>
            <w:tcW w:type="dxa" w:w="3402"/>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16/46 اعتماد به اطلاعات/نظرها؛ 11/46 Fit؛ 1/46 سبد و پرداخت</w:t>
            </w:r>
          </w:p>
        </w:tc>
        <w:tc>
          <w:tcPr>
            <w:tcW w:type="dxa" w:w="3969"/>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در این نمونه، friction گزارش‌شده بیشتر در Evaluation است تا Checkout</w:t>
            </w:r>
          </w:p>
        </w:tc>
      </w:tr>
      <w:tr>
        <w:tc>
          <w:tcPr>
            <w:tcW w:type="dxa" w:w="2551"/>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وقتی کاربر مردد است</w:t>
            </w:r>
          </w:p>
        </w:tc>
        <w:tc>
          <w:tcPr>
            <w:tcW w:type="dxa" w:w="3402"/>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23/46 Review؛ 15/46 مقایسه سایت دیگر؛ 12/46 تعویق</w:t>
            </w:r>
          </w:p>
        </w:tc>
        <w:tc>
          <w:tcPr>
            <w:tcW w:type="dxa" w:w="3969"/>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Confidence Check بخشی واقعی از Journey گزارش‌شده است</w:t>
            </w:r>
          </w:p>
        </w:tc>
      </w:tr>
      <w:tr>
        <w:tc>
          <w:tcPr>
            <w:tcW w:type="dxa" w:w="2551"/>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نتیجه آخرین مراجعه</w:t>
            </w:r>
          </w:p>
        </w:tc>
        <w:tc>
          <w:tcPr>
            <w:tcW w:type="dxa" w:w="3402"/>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27 خرید کامل؛ 19 بدون خرید کامل</w:t>
            </w:r>
          </w:p>
        </w:tc>
        <w:tc>
          <w:tcPr>
            <w:tcW w:type="dxa" w:w="3969"/>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فقط outcome نمونه؛ Conversion Rate سایت نیست</w:t>
            </w:r>
          </w:p>
        </w:tc>
      </w:tr>
      <w:tr>
        <w:tc>
          <w:tcPr>
            <w:tcW w:type="dxa" w:w="2551"/>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تطابق سفارش</w:t>
            </w:r>
          </w:p>
        </w:tc>
        <w:tc>
          <w:tcPr>
            <w:tcW w:type="dxa" w:w="3402"/>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38/46 درست؛ 7 packaging dissatisfaction؛ 1 wrong/incomplete</w:t>
            </w:r>
          </w:p>
        </w:tc>
        <w:tc>
          <w:tcPr>
            <w:tcW w:type="dxa" w:w="3969"/>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Fulfillment در نمونه سیگنال بحران غالب ندارد</w:t>
            </w:r>
          </w:p>
        </w:tc>
      </w:tr>
      <w:tr>
        <w:tc>
          <w:tcPr>
            <w:tcW w:type="dxa" w:w="2551"/>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Never/Lapsed جایگزین</w:t>
            </w:r>
          </w:p>
        </w:tc>
        <w:tc>
          <w:tcPr>
            <w:tcW w:type="dxa" w:w="3402"/>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فروشگاه فیزیکی، داروخانه، سایر Onlineها، influencer/competitor</w:t>
            </w:r>
          </w:p>
        </w:tc>
        <w:tc>
          <w:tcPr>
            <w:tcW w:type="dxa" w:w="3969"/>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Switching باید در Journey دیده شود، نه فقط Checkout</w:t>
            </w:r>
          </w:p>
        </w:tc>
      </w:tr>
      <w:tr>
        <w:tc>
          <w:tcPr>
            <w:tcW w:type="dxa" w:w="2551"/>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VOC</w:t>
            </w:r>
          </w:p>
        </w:tc>
        <w:tc>
          <w:tcPr>
            <w:tcW w:type="dxa" w:w="3402"/>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Availability، price، sensory، quality، effectiveness و...</w:t>
            </w:r>
          </w:p>
        </w:tc>
        <w:tc>
          <w:tcPr>
            <w:tcW w:type="dxa" w:w="3969"/>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تجربه تصمیم/مصرف چندعاملی است؛ Count کامنت = prevalence کاربر نیست</w:t>
            </w:r>
          </w:p>
        </w:tc>
      </w:tr>
    </w:tbl>
    <w:p>
      <w:pPr>
        <w:spacing w:after="40"/>
      </w:pPr>
    </w:p>
    <w:p>
      <w:pPr>
        <w:spacing w:before="200" w:after="100"/>
        <w:jc w:val="right"/>
        <w:bidi w:val="1"/>
      </w:pPr>
      <w:r>
        <w:rPr>
          <w:rFonts w:ascii="Vazirmatn" w:hAnsi="Vazirmatn" w:cs="Vazirmatn" w:eastAsia="Vazirmatn"/>
          <w:b/>
          <w:color w:val="162037"/>
          <w:sz w:val="34"/>
          <w:rtl w:val="1"/>
        </w:rPr>
        <w:t>۸. نقشه داده‌های لازم برای Q1</w:t>
      </w:r>
    </w:p>
    <w:p>
      <w:pPr>
        <w:spacing w:before="0" w:after="100" w:line="276" w:lineRule="auto"/>
        <w:jc w:val="right"/>
        <w:bidi w:val="1"/>
      </w:pPr>
      <w:r>
        <w:rPr>
          <w:rFonts w:ascii="Vazirmatn" w:hAnsi="Vazirmatn" w:cs="Vazirmatn" w:eastAsia="Vazirmatn"/>
          <w:b w:val="0"/>
          <w:sz w:val="21"/>
          <w:rtl w:val="1"/>
        </w:rPr>
        <w:t>وزن‌ها نشان می‌دهند نبود هر داده چقدر می‌تواند بازسازی Journey را ناقص کند. مجموع وزن‌ها ۱۰۰ است؛ این وزن‌ها مخصوص سؤال ۱ هستند و در سؤال‌های دیگر تغییر می‌کنند.</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3515"/>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داده لازم</w:t>
            </w:r>
          </w:p>
        </w:tc>
        <w:tc>
          <w:tcPr>
            <w:tcW w:type="dxa" w:w="1361"/>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وزن اهمیت</w:t>
            </w:r>
          </w:p>
        </w:tc>
        <w:tc>
          <w:tcPr>
            <w:tcW w:type="dxa" w:w="2268"/>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وضعیت فعلی</w:t>
            </w:r>
          </w:p>
        </w:tc>
        <w:tc>
          <w:tcPr>
            <w:tcW w:type="dxa" w:w="2835"/>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نوع برخورد</w:t>
            </w:r>
          </w:p>
        </w:tc>
      </w:tr>
      <w:tr>
        <w:tc>
          <w:tcPr>
            <w:tcW w:type="dxa" w:w="351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Landing / Home</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12٪</w:t>
            </w:r>
          </w:p>
        </w:tc>
        <w:tc>
          <w:tcPr>
            <w:tcW w:type="dxa" w:w="226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داریم</w:t>
            </w:r>
          </w:p>
        </w:tc>
        <w:tc>
          <w:tcPr>
            <w:tcW w:type="dxa" w:w="283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Observed / UX evidence</w:t>
            </w:r>
          </w:p>
        </w:tc>
      </w:tr>
      <w:tr>
        <w:tc>
          <w:tcPr>
            <w:tcW w:type="dxa" w:w="3515"/>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Search / Category / Browse</w:t>
            </w:r>
          </w:p>
        </w:tc>
        <w:tc>
          <w:tcPr>
            <w:tcW w:type="dxa" w:w="136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13٪</w:t>
            </w:r>
          </w:p>
        </w:tc>
        <w:tc>
          <w:tcPr>
            <w:tcW w:type="dxa" w:w="226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تا حد خوب داریم</w:t>
            </w:r>
          </w:p>
        </w:tc>
        <w:tc>
          <w:tcPr>
            <w:tcW w:type="dxa" w:w="283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Observed + survey-supported</w:t>
            </w:r>
          </w:p>
        </w:tc>
      </w:tr>
      <w:tr>
        <w:tc>
          <w:tcPr>
            <w:tcW w:type="dxa" w:w="351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PDP / Evaluation</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15٪</w:t>
            </w:r>
          </w:p>
        </w:tc>
        <w:tc>
          <w:tcPr>
            <w:tcW w:type="dxa" w:w="226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داریم</w:t>
            </w:r>
          </w:p>
        </w:tc>
        <w:tc>
          <w:tcPr>
            <w:tcW w:type="dxa" w:w="283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Survey + VOC + UX</w:t>
            </w:r>
          </w:p>
        </w:tc>
      </w:tr>
      <w:tr>
        <w:tc>
          <w:tcPr>
            <w:tcW w:type="dxa" w:w="3515"/>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Chatbot / Support</w:t>
            </w:r>
          </w:p>
        </w:tc>
        <w:tc>
          <w:tcPr>
            <w:tcW w:type="dxa" w:w="136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8٪</w:t>
            </w:r>
          </w:p>
        </w:tc>
        <w:tc>
          <w:tcPr>
            <w:tcW w:type="dxa" w:w="226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داریم</w:t>
            </w:r>
          </w:p>
        </w:tc>
        <w:tc>
          <w:tcPr>
            <w:tcW w:type="dxa" w:w="283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Observed UX</w:t>
            </w:r>
          </w:p>
        </w:tc>
      </w:tr>
      <w:tr>
        <w:tc>
          <w:tcPr>
            <w:tcW w:type="dxa" w:w="351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Cart / Checkout</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15٪</w:t>
            </w:r>
          </w:p>
        </w:tc>
        <w:tc>
          <w:tcPr>
            <w:tcW w:type="dxa" w:w="226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داریم</w:t>
            </w:r>
          </w:p>
        </w:tc>
        <w:tc>
          <w:tcPr>
            <w:tcW w:type="dxa" w:w="283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Observed + survey signal</w:t>
            </w:r>
          </w:p>
        </w:tc>
      </w:tr>
      <w:tr>
        <w:tc>
          <w:tcPr>
            <w:tcW w:type="dxa" w:w="3515"/>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Login / OTP / Address / Payment</w:t>
            </w:r>
          </w:p>
        </w:tc>
        <w:tc>
          <w:tcPr>
            <w:tcW w:type="dxa" w:w="136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7٪</w:t>
            </w:r>
          </w:p>
        </w:tc>
        <w:tc>
          <w:tcPr>
            <w:tcW w:type="dxa" w:w="226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بخشی داریم</w:t>
            </w:r>
          </w:p>
        </w:tc>
        <w:tc>
          <w:tcPr>
            <w:tcW w:type="dxa" w:w="283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Observed architecture؛ telemetry نداریم</w:t>
            </w:r>
          </w:p>
        </w:tc>
      </w:tr>
      <w:tr>
        <w:tc>
          <w:tcPr>
            <w:tcW w:type="dxa" w:w="351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Delivery / Post-purchase</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7٪</w:t>
            </w:r>
          </w:p>
        </w:tc>
        <w:tc>
          <w:tcPr>
            <w:tcW w:type="dxa" w:w="226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داریم</w:t>
            </w:r>
          </w:p>
        </w:tc>
        <w:tc>
          <w:tcPr>
            <w:tcW w:type="dxa" w:w="283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Survey + official context</w:t>
            </w:r>
          </w:p>
        </w:tc>
      </w:tr>
      <w:tr>
        <w:tc>
          <w:tcPr>
            <w:tcW w:type="dxa" w:w="3515"/>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Repurchase / Switching</w:t>
            </w:r>
          </w:p>
        </w:tc>
        <w:tc>
          <w:tcPr>
            <w:tcW w:type="dxa" w:w="136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7٪</w:t>
            </w:r>
          </w:p>
        </w:tc>
        <w:tc>
          <w:tcPr>
            <w:tcW w:type="dxa" w:w="226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داریم</w:t>
            </w:r>
          </w:p>
        </w:tc>
        <w:tc>
          <w:tcPr>
            <w:tcW w:type="dxa" w:w="283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Survey + Never/Lapsed</w:t>
            </w:r>
          </w:p>
        </w:tc>
      </w:tr>
      <w:tr>
        <w:tc>
          <w:tcPr>
            <w:tcW w:type="dxa" w:w="351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Behavioral Analytics</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10٪</w:t>
            </w:r>
          </w:p>
        </w:tc>
        <w:tc>
          <w:tcPr>
            <w:tcW w:type="dxa" w:w="226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نداریم</w:t>
            </w:r>
          </w:p>
        </w:tc>
        <w:tc>
          <w:tcPr>
            <w:tcW w:type="dxa" w:w="283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Critical unknown برای frequency/drop-off</w:t>
            </w:r>
          </w:p>
        </w:tc>
      </w:tr>
      <w:tr>
        <w:tc>
          <w:tcPr>
            <w:tcW w:type="dxa" w:w="3515"/>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Edge / Failure States</w:t>
            </w:r>
          </w:p>
        </w:tc>
        <w:tc>
          <w:tcPr>
            <w:tcW w:type="dxa" w:w="136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6٪</w:t>
            </w:r>
          </w:p>
        </w:tc>
        <w:tc>
          <w:tcPr>
            <w:tcW w:type="dxa" w:w="226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محدود</w:t>
            </w:r>
          </w:p>
        </w:tc>
        <w:tc>
          <w:tcPr>
            <w:tcW w:type="dxa" w:w="283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Estimable only as hypotheses</w:t>
            </w:r>
          </w:p>
        </w:tc>
      </w:tr>
    </w:tbl>
    <w:p>
      <w:pPr>
        <w:spacing w:after="40"/>
      </w:pPr>
    </w:p>
    <w:p>
      <w:pPr>
        <w:spacing w:before="200" w:after="100"/>
        <w:jc w:val="right"/>
        <w:bidi w:val="1"/>
      </w:pPr>
      <w:r>
        <w:rPr>
          <w:rFonts w:ascii="Vazirmatn" w:hAnsi="Vazirmatn" w:cs="Vazirmatn" w:eastAsia="Vazirmatn"/>
          <w:b/>
          <w:color w:val="162037"/>
          <w:sz w:val="34"/>
          <w:rtl w:val="1"/>
        </w:rPr>
        <w:t>۹. طبقه‌بندی Missing Data</w:t>
      </w:r>
    </w:p>
    <w:tbl>
      <w:tblPr>
        <w:tblStyle w:val="TableGrid"/>
        <w:tblW w:type="auto" w:w="0"/>
        <w:jc w:val="center"/>
        <w:tblLook w:firstColumn="1" w:firstRow="1" w:lastColumn="0" w:lastRow="0" w:noHBand="0" w:noVBand="1" w:val="04A0"/>
      </w:tblPr>
      <w:tblGrid>
        <w:gridCol w:w="3494"/>
        <w:gridCol w:w="3494"/>
        <w:gridCol w:w="3494"/>
      </w:tblGrid>
      <w:tr>
        <w:tc>
          <w:tcPr>
            <w:tcW w:type="dxa" w:w="2268"/>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کلاس</w:t>
            </w:r>
          </w:p>
        </w:tc>
        <w:tc>
          <w:tcPr>
            <w:tcW w:type="dxa" w:w="4649"/>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برای Q1 چه چیزهایی داخل آن است؟</w:t>
            </w:r>
          </w:p>
        </w:tc>
        <w:tc>
          <w:tcPr>
            <w:tcW w:type="dxa" w:w="3118"/>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اثر بر تصمیم</w:t>
            </w:r>
          </w:p>
        </w:tc>
      </w:tr>
      <w:tr>
        <w:tc>
          <w:tcPr>
            <w:tcW w:type="dxa" w:w="2268"/>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قابل برآورد</w:t>
            </w:r>
          </w:p>
        </w:tc>
        <w:tc>
          <w:tcPr>
            <w:tcW w:type="dxa" w:w="4649"/>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بخشی از Post-purchase sequence، switching logic، برخی failure paths</w:t>
            </w:r>
          </w:p>
        </w:tc>
        <w:tc>
          <w:tcPr>
            <w:tcW w:type="dxa" w:w="311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برای ترسیم ساختار Journey قابل استفاده است، اما باید Inference label بخورد</w:t>
            </w:r>
          </w:p>
        </w:tc>
      </w:tr>
      <w:tr>
        <w:tc>
          <w:tcPr>
            <w:tcW w:type="dxa" w:w="2268"/>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قابل اغماض برای Q1</w:t>
            </w:r>
          </w:p>
        </w:tc>
        <w:tc>
          <w:tcPr>
            <w:tcW w:type="dxa" w:w="4649"/>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سهم دقیق روش‌های پرداخت، تعداد کلیک Navigation، نرخ استفاده Chatbot، Time-on-page</w:t>
            </w:r>
          </w:p>
        </w:tc>
        <w:tc>
          <w:tcPr>
            <w:tcW w:type="dxa" w:w="311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برای «وجود Flow» ضروری نیست؛ در KPI/analytics بعداً مهم می‌شود</w:t>
            </w:r>
          </w:p>
        </w:tc>
      </w:tr>
      <w:tr>
        <w:tc>
          <w:tcPr>
            <w:tcW w:type="dxa" w:w="2268"/>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Critical Unknown</w:t>
            </w:r>
          </w:p>
        </w:tc>
        <w:tc>
          <w:tcPr>
            <w:tcW w:type="dxa" w:w="4649"/>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Session-level telemetry، واقعی‌ترین drop-offها، observed usability behavior</w:t>
            </w:r>
          </w:p>
        </w:tc>
        <w:tc>
          <w:tcPr>
            <w:tcW w:type="dxa" w:w="311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ممکن است محل و شدت friction را جابه‌جا کند؛ سقف برخی ادعاها را محدود می‌کند</w:t>
            </w:r>
          </w:p>
        </w:tc>
      </w:tr>
    </w:tbl>
    <w:p>
      <w:pPr>
        <w:spacing w:after="40"/>
      </w:pPr>
    </w:p>
    <w:p>
      <w:pPr>
        <w:spacing w:before="200" w:after="100"/>
        <w:jc w:val="right"/>
        <w:bidi w:val="1"/>
      </w:pPr>
      <w:r>
        <w:rPr>
          <w:rFonts w:ascii="Vazirmatn" w:hAnsi="Vazirmatn" w:cs="Vazirmatn" w:eastAsia="Vazirmatn"/>
          <w:b/>
          <w:color w:val="162037"/>
          <w:sz w:val="34"/>
          <w:rtl w:val="1"/>
        </w:rPr>
        <w:t>۱۰. DECAF Quantification v1.0 — معیارهای Q1</w:t>
      </w:r>
    </w:p>
    <w:p>
      <w:pPr>
        <w:spacing w:before="0" w:after="100" w:line="276" w:lineRule="auto"/>
        <w:jc w:val="right"/>
        <w:bidi w:val="1"/>
      </w:pPr>
      <w:r>
        <w:rPr>
          <w:rFonts w:ascii="Vazirmatn" w:hAnsi="Vazirmatn" w:cs="Vazirmatn" w:eastAsia="Vazirmatn"/>
          <w:b w:val="0"/>
          <w:sz w:val="21"/>
          <w:rtl w:val="1"/>
        </w:rPr>
        <w:t>Confidence سؤال ۱ با پنج معیار ثابت DECAF محاسبه می‌شود، اما ورودی و حساسیت هر معیار مخصوص همین سؤال است.</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3005"/>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معیار</w:t>
            </w:r>
          </w:p>
        </w:tc>
        <w:tc>
          <w:tcPr>
            <w:tcW w:type="dxa" w:w="1191"/>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وزن</w:t>
            </w:r>
          </w:p>
        </w:tc>
        <w:tc>
          <w:tcPr>
            <w:tcW w:type="dxa" w:w="4422"/>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تعریف در Q1</w:t>
            </w:r>
          </w:p>
        </w:tc>
        <w:tc>
          <w:tcPr>
            <w:tcW w:type="dxa" w:w="1247"/>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نمره Q1</w:t>
            </w:r>
          </w:p>
        </w:tc>
      </w:tr>
      <w:tr>
        <w:tc>
          <w:tcPr>
            <w:tcW w:type="dxa" w:w="300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Direct Evidence Quality</w:t>
            </w:r>
          </w:p>
        </w:tc>
        <w:tc>
          <w:tcPr>
            <w:tcW w:type="dxa" w:w="119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30٪</w:t>
            </w:r>
          </w:p>
        </w:tc>
        <w:tc>
          <w:tcPr>
            <w:tcW w:type="dxa" w:w="4422"/>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کیفیت مشاهده/داده مستقیم درباره Flow و Journey</w:t>
            </w:r>
          </w:p>
        </w:tc>
        <w:tc>
          <w:tcPr>
            <w:tcW w:type="dxa" w:w="1247"/>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90</w:t>
            </w:r>
          </w:p>
        </w:tc>
      </w:tr>
      <w:tr>
        <w:tc>
          <w:tcPr>
            <w:tcW w:type="dxa" w:w="3005"/>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Required Data Coverage</w:t>
            </w:r>
          </w:p>
        </w:tc>
        <w:tc>
          <w:tcPr>
            <w:tcW w:type="dxa" w:w="119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25٪</w:t>
            </w:r>
          </w:p>
        </w:tc>
        <w:tc>
          <w:tcPr>
            <w:tcW w:type="dxa" w:w="4422"/>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چه سهمی از داده‌های لازم با شواهد قابل استفاده پوشش داده شده</w:t>
            </w:r>
          </w:p>
        </w:tc>
        <w:tc>
          <w:tcPr>
            <w:tcW w:type="dxa" w:w="1247"/>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85</w:t>
            </w:r>
          </w:p>
        </w:tc>
      </w:tr>
      <w:tr>
        <w:tc>
          <w:tcPr>
            <w:tcW w:type="dxa" w:w="300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Evidence Triangulation</w:t>
            </w:r>
          </w:p>
        </w:tc>
        <w:tc>
          <w:tcPr>
            <w:tcW w:type="dxa" w:w="119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20٪</w:t>
            </w:r>
          </w:p>
        </w:tc>
        <w:tc>
          <w:tcPr>
            <w:tcW w:type="dxa" w:w="4422"/>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هم‌گرایی خانواده‌های مستقل Survey، VOC، UX و context رسمی</w:t>
            </w:r>
          </w:p>
        </w:tc>
        <w:tc>
          <w:tcPr>
            <w:tcW w:type="dxa" w:w="1247"/>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88</w:t>
            </w:r>
          </w:p>
        </w:tc>
      </w:tr>
      <w:tr>
        <w:tc>
          <w:tcPr>
            <w:tcW w:type="dxa" w:w="3005"/>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Low Dependency on Assumptions</w:t>
            </w:r>
          </w:p>
        </w:tc>
        <w:tc>
          <w:tcPr>
            <w:tcW w:type="dxa" w:w="119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15٪</w:t>
            </w:r>
          </w:p>
        </w:tc>
        <w:tc>
          <w:tcPr>
            <w:tcW w:type="dxa" w:w="4422"/>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تا چه حد نقشه Journey بدون فرض‌های سنگین پابرجاست</w:t>
            </w:r>
          </w:p>
        </w:tc>
        <w:tc>
          <w:tcPr>
            <w:tcW w:type="dxa" w:w="1247"/>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85</w:t>
            </w:r>
          </w:p>
        </w:tc>
      </w:tr>
      <w:tr>
        <w:tc>
          <w:tcPr>
            <w:tcW w:type="dxa" w:w="300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Low Sensitivity to Missing Data</w:t>
            </w:r>
          </w:p>
        </w:tc>
        <w:tc>
          <w:tcPr>
            <w:tcW w:type="dxa" w:w="119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10٪</w:t>
            </w:r>
          </w:p>
        </w:tc>
        <w:tc>
          <w:tcPr>
            <w:tcW w:type="dxa" w:w="4422"/>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اگر داده‌های گمشده اضافه شوند، آیا ساختار اصلی Journey عوض می‌شود؟</w:t>
            </w:r>
          </w:p>
        </w:tc>
        <w:tc>
          <w:tcPr>
            <w:tcW w:type="dxa" w:w="1247"/>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55</w:t>
            </w:r>
          </w:p>
        </w:tc>
      </w:tr>
    </w:tbl>
    <w:p>
      <w:pPr>
        <w:spacing w:after="40"/>
      </w:pPr>
    </w:p>
    <w:p>
      <w:pPr>
        <w:spacing w:before="140" w:after="100"/>
        <w:jc w:val="right"/>
        <w:bidi w:val="1"/>
      </w:pPr>
      <w:r>
        <w:rPr>
          <w:rFonts w:ascii="Vazirmatn" w:hAnsi="Vazirmatn" w:cs="Vazirmatn" w:eastAsia="Vazirmatn"/>
          <w:b/>
          <w:color w:val="C52465"/>
          <w:sz w:val="27"/>
          <w:rtl w:val="1"/>
        </w:rPr>
        <w:t>۱۱. Rubric امتیازدهی ثابت</w:t>
      </w:r>
    </w:p>
    <w:tbl>
      <w:tblPr>
        <w:tblStyle w:val="TableGrid"/>
        <w:tblW w:type="auto" w:w="0"/>
        <w:jc w:val="center"/>
        <w:tblLook w:firstColumn="1" w:firstRow="1" w:lastColumn="0" w:lastRow="0" w:noHBand="0" w:noVBand="1" w:val="04A0"/>
      </w:tblPr>
      <w:tblGrid>
        <w:gridCol w:w="5241"/>
        <w:gridCol w:w="5241"/>
      </w:tblGrid>
      <w:tr>
        <w:tc>
          <w:tcPr>
            <w:tcW w:type="dxa" w:w="1701"/>
            <w:shd w:fill="172033"/>
            <w:tcMar>
              <w:top w:w="120" w:type="dxa"/>
              <w:start w:w="130" w:type="dxa"/>
              <w:bottom w:w="120" w:type="dxa"/>
              <w:end w:w="130" w:type="dxa"/>
            </w:tcMar>
          </w:tcPr>
          <w:p>
            <w:pPr>
              <w:jc w:val="center"/>
              <w:bidi w:val="1"/>
            </w:pPr>
            <w:r>
              <w:rPr>
                <w:rFonts w:ascii="Vazirmatn" w:hAnsi="Vazirmatn" w:cs="Vazirmatn" w:eastAsia="Vazirmatn"/>
                <w:b/>
                <w:color w:val="FFFFFF"/>
                <w:sz w:val="18"/>
                <w:rtl w:val="1"/>
              </w:rPr>
              <w:t>بازه</w:t>
            </w:r>
          </w:p>
        </w:tc>
        <w:tc>
          <w:tcPr>
            <w:tcW w:type="dxa" w:w="8220"/>
            <w:shd w:fill="172033"/>
            <w:tcMar>
              <w:top w:w="120" w:type="dxa"/>
              <w:start w:w="130" w:type="dxa"/>
              <w:bottom w:w="120" w:type="dxa"/>
              <w:end w:w="130" w:type="dxa"/>
            </w:tcMar>
          </w:tcPr>
          <w:p>
            <w:pPr>
              <w:jc w:val="center"/>
              <w:bidi w:val="1"/>
            </w:pPr>
            <w:r>
              <w:rPr>
                <w:rFonts w:ascii="Vazirmatn" w:hAnsi="Vazirmatn" w:cs="Vazirmatn" w:eastAsia="Vazirmatn"/>
                <w:b/>
                <w:color w:val="FFFFFF"/>
                <w:sz w:val="18"/>
                <w:rtl w:val="1"/>
              </w:rPr>
              <w:t>معنای Evidence Score</w:t>
            </w:r>
          </w:p>
        </w:tc>
      </w:tr>
      <w:tr>
        <w:tc>
          <w:tcPr>
            <w:tcW w:type="dxa" w:w="1701"/>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8"/>
                <w:rtl w:val="1"/>
              </w:rPr>
              <w:t>90–100</w:t>
            </w:r>
          </w:p>
        </w:tc>
        <w:tc>
          <w:tcPr>
            <w:tcW w:type="dxa" w:w="8220"/>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8"/>
                <w:rtl w:val="1"/>
              </w:rPr>
              <w:t>داده مستقیم/مشاهده معتبر، منبع رسمی تازه یا telemetry مناسب</w:t>
            </w:r>
          </w:p>
        </w:tc>
      </w:tr>
      <w:tr>
        <w:tc>
          <w:tcPr>
            <w:tcW w:type="dxa" w:w="1701"/>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8"/>
                <w:rtl w:val="1"/>
              </w:rPr>
              <w:t>75–89</w:t>
            </w:r>
          </w:p>
        </w:tc>
        <w:tc>
          <w:tcPr>
            <w:tcW w:type="dxa" w:w="8220"/>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8"/>
                <w:rtl w:val="1"/>
              </w:rPr>
              <w:t>شواهد ساختاریافته و قابل دفاع با محدودیت روشن</w:t>
            </w:r>
          </w:p>
        </w:tc>
      </w:tr>
      <w:tr>
        <w:tc>
          <w:tcPr>
            <w:tcW w:type="dxa" w:w="1701"/>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8"/>
                <w:rtl w:val="1"/>
              </w:rPr>
              <w:t>50–74</w:t>
            </w:r>
          </w:p>
        </w:tc>
        <w:tc>
          <w:tcPr>
            <w:tcW w:type="dxa" w:w="8220"/>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8"/>
                <w:rtl w:val="1"/>
              </w:rPr>
              <w:t>Proxy معتبر، نمونه Convenience یا evidence غیرمستقیم</w:t>
            </w:r>
          </w:p>
        </w:tc>
      </w:tr>
      <w:tr>
        <w:tc>
          <w:tcPr>
            <w:tcW w:type="dxa" w:w="1701"/>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8"/>
                <w:rtl w:val="1"/>
              </w:rPr>
              <w:t>30–49</w:t>
            </w:r>
          </w:p>
        </w:tc>
        <w:tc>
          <w:tcPr>
            <w:tcW w:type="dxa" w:w="8220"/>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8"/>
                <w:rtl w:val="1"/>
              </w:rPr>
              <w:t>Expert inference با شواهد محدود</w:t>
            </w:r>
          </w:p>
        </w:tc>
      </w:tr>
      <w:tr>
        <w:tc>
          <w:tcPr>
            <w:tcW w:type="dxa" w:w="1701"/>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8"/>
                <w:rtl w:val="1"/>
              </w:rPr>
              <w:t>0–29</w:t>
            </w:r>
          </w:p>
        </w:tc>
        <w:tc>
          <w:tcPr>
            <w:tcW w:type="dxa" w:w="8220"/>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8"/>
                <w:rtl w:val="1"/>
              </w:rPr>
              <w:t>فرض بدون پشتوانه، داده superseded یا ادعای غیرقابل ردیابی</w:t>
            </w:r>
          </w:p>
        </w:tc>
      </w:tr>
    </w:tbl>
    <w:p>
      <w:pPr>
        <w:spacing w:after="40"/>
      </w:pPr>
    </w:p>
    <w:p>
      <w:pPr>
        <w:spacing w:before="200" w:after="100"/>
        <w:jc w:val="right"/>
        <w:bidi w:val="1"/>
      </w:pPr>
      <w:r>
        <w:rPr>
          <w:rFonts w:ascii="Vazirmatn" w:hAnsi="Vazirmatn" w:cs="Vazirmatn" w:eastAsia="Vazirmatn"/>
          <w:b/>
          <w:color w:val="162037"/>
          <w:sz w:val="34"/>
          <w:rtl w:val="1"/>
        </w:rPr>
        <w:t>۱۲. محاسبه Confidence</w:t>
      </w:r>
    </w:p>
    <w:tbl>
      <w:tblPr>
        <w:tblStyle w:val="TableGrid"/>
        <w:tblW w:type="auto" w:w="0"/>
        <w:jc w:val="center"/>
        <w:tblLook w:firstColumn="1" w:firstRow="1" w:lastColumn="0" w:lastRow="0" w:noHBand="0" w:noVBand="1" w:val="04A0"/>
      </w:tblPr>
      <w:tblGrid>
        <w:gridCol w:w="5241"/>
        <w:gridCol w:w="5241"/>
      </w:tblGrid>
      <w:tr>
        <w:tc>
          <w:tcPr>
            <w:tcW w:type="dxa" w:w="5953"/>
            <w:shd w:fill="172033"/>
            <w:tcMar>
              <w:top w:w="120" w:type="dxa"/>
              <w:start w:w="130" w:type="dxa"/>
              <w:bottom w:w="120" w:type="dxa"/>
              <w:end w:w="130" w:type="dxa"/>
            </w:tcMar>
          </w:tcPr>
          <w:p>
            <w:pPr>
              <w:jc w:val="center"/>
              <w:bidi w:val="1"/>
            </w:pPr>
            <w:r>
              <w:rPr>
                <w:rFonts w:ascii="Vazirmatn" w:hAnsi="Vazirmatn" w:cs="Vazirmatn" w:eastAsia="Vazirmatn"/>
                <w:b/>
                <w:color w:val="FFFFFF"/>
                <w:sz w:val="20"/>
                <w:rtl w:val="1"/>
              </w:rPr>
              <w:t>محاسبه</w:t>
            </w:r>
          </w:p>
        </w:tc>
        <w:tc>
          <w:tcPr>
            <w:tcW w:type="dxa" w:w="3685"/>
            <w:shd w:fill="172033"/>
            <w:tcMar>
              <w:top w:w="120" w:type="dxa"/>
              <w:start w:w="130" w:type="dxa"/>
              <w:bottom w:w="120" w:type="dxa"/>
              <w:end w:w="130" w:type="dxa"/>
            </w:tcMar>
          </w:tcPr>
          <w:p>
            <w:pPr>
              <w:jc w:val="center"/>
              <w:bidi w:val="1"/>
            </w:pPr>
            <w:r>
              <w:rPr>
                <w:rFonts w:ascii="Vazirmatn" w:hAnsi="Vazirmatn" w:cs="Vazirmatn" w:eastAsia="Vazirmatn"/>
                <w:b/>
                <w:color w:val="FFFFFF"/>
                <w:sz w:val="20"/>
                <w:rtl w:val="1"/>
              </w:rPr>
              <w:t>امتیاز وزنی</w:t>
            </w:r>
          </w:p>
        </w:tc>
      </w:tr>
      <w:tr>
        <w:tc>
          <w:tcPr>
            <w:tcW w:type="dxa" w:w="5953"/>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20"/>
                <w:rtl w:val="1"/>
              </w:rPr>
              <w:t>90 × 30٪</w:t>
            </w:r>
          </w:p>
        </w:tc>
        <w:tc>
          <w:tcPr>
            <w:tcW w:type="dxa" w:w="368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20"/>
                <w:rtl w:val="1"/>
              </w:rPr>
              <w:t>27.00</w:t>
            </w:r>
          </w:p>
        </w:tc>
      </w:tr>
      <w:tr>
        <w:tc>
          <w:tcPr>
            <w:tcW w:type="dxa" w:w="5953"/>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20"/>
                <w:rtl w:val="1"/>
              </w:rPr>
              <w:t>85 × 25٪</w:t>
            </w:r>
          </w:p>
        </w:tc>
        <w:tc>
          <w:tcPr>
            <w:tcW w:type="dxa" w:w="368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20"/>
                <w:rtl w:val="1"/>
              </w:rPr>
              <w:t>21.25</w:t>
            </w:r>
          </w:p>
        </w:tc>
      </w:tr>
      <w:tr>
        <w:tc>
          <w:tcPr>
            <w:tcW w:type="dxa" w:w="5953"/>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20"/>
                <w:rtl w:val="1"/>
              </w:rPr>
              <w:t>88 × 20٪</w:t>
            </w:r>
          </w:p>
        </w:tc>
        <w:tc>
          <w:tcPr>
            <w:tcW w:type="dxa" w:w="368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20"/>
                <w:rtl w:val="1"/>
              </w:rPr>
              <w:t>17.60</w:t>
            </w:r>
          </w:p>
        </w:tc>
      </w:tr>
      <w:tr>
        <w:tc>
          <w:tcPr>
            <w:tcW w:type="dxa" w:w="5953"/>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20"/>
                <w:rtl w:val="1"/>
              </w:rPr>
              <w:t>85 × 15٪</w:t>
            </w:r>
          </w:p>
        </w:tc>
        <w:tc>
          <w:tcPr>
            <w:tcW w:type="dxa" w:w="368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20"/>
                <w:rtl w:val="1"/>
              </w:rPr>
              <w:t>12.75</w:t>
            </w:r>
          </w:p>
        </w:tc>
      </w:tr>
      <w:tr>
        <w:tc>
          <w:tcPr>
            <w:tcW w:type="dxa" w:w="5953"/>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20"/>
                <w:rtl w:val="1"/>
              </w:rPr>
              <w:t>55 × 10٪</w:t>
            </w:r>
          </w:p>
        </w:tc>
        <w:tc>
          <w:tcPr>
            <w:tcW w:type="dxa" w:w="3685"/>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20"/>
                <w:rtl w:val="1"/>
              </w:rPr>
              <w:t>5.50</w:t>
            </w:r>
          </w:p>
        </w:tc>
      </w:tr>
      <w:tr>
        <w:tc>
          <w:tcPr>
            <w:tcW w:type="dxa" w:w="5953"/>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20"/>
                <w:rtl w:val="1"/>
              </w:rPr>
              <w:t>جمع</w:t>
            </w:r>
          </w:p>
        </w:tc>
        <w:tc>
          <w:tcPr>
            <w:tcW w:type="dxa" w:w="3685"/>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20"/>
                <w:rtl w:val="1"/>
              </w:rPr>
              <w:t>84.10 ≈ 84</w:t>
            </w:r>
          </w:p>
        </w:tc>
      </w:tr>
    </w:tbl>
    <w:p>
      <w:pPr>
        <w:spacing w:after="40"/>
      </w:pPr>
    </w:p>
    <w:tbl>
      <w:tblPr>
        <w:tblW w:type="auto" w:w="0"/>
        <w:jc w:val="center"/>
        <w:tblLayout w:type="fixed"/>
        <w:tblLook w:firstColumn="1" w:firstRow="1" w:lastColumn="0" w:lastRow="0" w:noHBand="0" w:noVBand="1" w:val="04A0"/>
      </w:tblPr>
      <w:tblGrid>
        <w:gridCol w:w="10482"/>
      </w:tblGrid>
      <w:tr>
        <w:tc>
          <w:tcPr>
            <w:tcW w:type="dxa" w:w="9354"/>
            <w:shd w:fill="ECFDF5"/>
            <w:tcMar>
              <w:top w:w="180" w:type="dxa"/>
              <w:start w:w="220" w:type="dxa"/>
              <w:bottom w:w="180" w:type="dxa"/>
              <w:end w:w="220" w:type="dxa"/>
            </w:tcMar>
          </w:tcPr>
          <w:p>
            <w:pPr>
              <w:spacing w:after="80"/>
              <w:jc w:val="right"/>
              <w:bidi w:val="1"/>
            </w:pPr>
            <w:r>
              <w:rPr>
                <w:rFonts w:ascii="Vazirmatn" w:hAnsi="Vazirmatn" w:cs="Vazirmatn" w:eastAsia="Vazirmatn"/>
                <w:b/>
                <w:color w:val="065F46"/>
                <w:sz w:val="22"/>
                <w:rtl w:val="1"/>
              </w:rPr>
              <w:t>نتیجه DECAF</w:t>
            </w:r>
          </w:p>
          <w:p>
            <w:pPr>
              <w:spacing w:after="0" w:line="276" w:lineRule="auto"/>
              <w:jc w:val="right"/>
              <w:bidi w:val="1"/>
            </w:pPr>
            <w:r>
              <w:rPr>
                <w:rFonts w:ascii="Vazirmatn" w:hAnsi="Vazirmatn" w:cs="Vazirmatn" w:eastAsia="Vazirmatn"/>
                <w:color w:val="1F2937"/>
                <w:sz w:val="20"/>
                <w:rtl w:val="1"/>
              </w:rPr>
              <w:t>Confidence Q1 = 84 / 100 → Class A. یعنی ساختار اصلی Current Journey برای ادامه Discovery قابل دفاع است، ولی این نمره اجازه نمی‌دهد درباره نرخ افت، Frequency مسیرها یا causal bottleneck ادعای قطعی کنیم.</w:t>
            </w:r>
          </w:p>
        </w:tc>
      </w:tr>
    </w:tbl>
    <w:p>
      <w:pPr>
        <w:spacing w:after="20"/>
      </w:pPr>
    </w:p>
    <w:p>
      <w:pPr>
        <w:spacing w:before="200" w:after="100"/>
        <w:jc w:val="right"/>
        <w:bidi w:val="1"/>
      </w:pPr>
      <w:r>
        <w:rPr>
          <w:rFonts w:ascii="Vazirmatn" w:hAnsi="Vazirmatn" w:cs="Vazirmatn" w:eastAsia="Vazirmatn"/>
          <w:b/>
          <w:color w:val="162037"/>
          <w:sz w:val="34"/>
          <w:rtl w:val="1"/>
        </w:rPr>
        <w:t>۱۳. Cap Rules و کنترل عددسازی</w:t>
      </w:r>
    </w:p>
    <w:p>
      <w:pPr>
        <w:spacing w:after="60"/>
        <w:ind w:left="0" w:right="0"/>
        <w:jc w:val="right"/>
        <w:bidi w:val="1"/>
      </w:pPr>
      <w:r>
        <w:rPr>
          <w:rFonts w:ascii="Vazirmatn" w:hAnsi="Vazirmatn" w:cs="Vazirmatn" w:eastAsia="Vazirmatn"/>
          <w:color w:val="1F2937"/>
          <w:sz w:val="20"/>
          <w:rtl w:val="1"/>
        </w:rPr>
        <w:t>• بدون Behavioral Analytics، درباره Drop-off Rate، Frequency یا سهم هر Flow در کل کاربران Confidence بالا مجاز نیست.</w:t>
      </w:r>
    </w:p>
    <w:p>
      <w:pPr>
        <w:spacing w:after="60"/>
        <w:ind w:left="0" w:right="0"/>
        <w:jc w:val="right"/>
        <w:bidi w:val="1"/>
      </w:pPr>
      <w:r>
        <w:rPr>
          <w:rFonts w:ascii="Vazirmatn" w:hAnsi="Vazirmatn" w:cs="Vazirmatn" w:eastAsia="Vazirmatn"/>
          <w:color w:val="1F2937"/>
          <w:sz w:val="20"/>
          <w:rtl w:val="1"/>
        </w:rPr>
        <w:t>• Flowهایی که فقط از Expert Review آمده‌اند باید «فرضیه جریان» نامیده شوند، نه Fact.</w:t>
      </w:r>
    </w:p>
    <w:p>
      <w:pPr>
        <w:spacing w:after="60"/>
        <w:ind w:left="0" w:right="0"/>
        <w:jc w:val="right"/>
        <w:bidi w:val="1"/>
      </w:pPr>
      <w:r>
        <w:rPr>
          <w:rFonts w:ascii="Vazirmatn" w:hAnsi="Vazirmatn" w:cs="Vazirmatn" w:eastAsia="Vazirmatn"/>
          <w:color w:val="1F2937"/>
          <w:sz w:val="20"/>
          <w:rtl w:val="1"/>
        </w:rPr>
        <w:t>• Survey Outcome 27/46 یا 19/46 نباید به Conversion Rate کل سایت تبدیل شود.</w:t>
      </w:r>
    </w:p>
    <w:p>
      <w:pPr>
        <w:spacing w:after="60"/>
        <w:ind w:left="0" w:right="0"/>
        <w:jc w:val="right"/>
        <w:bidi w:val="1"/>
      </w:pPr>
      <w:r>
        <w:rPr>
          <w:rFonts w:ascii="Vazirmatn" w:hAnsi="Vazirmatn" w:cs="Vazirmatn" w:eastAsia="Vazirmatn"/>
          <w:color w:val="1F2937"/>
          <w:sz w:val="20"/>
          <w:rtl w:val="1"/>
        </w:rPr>
        <w:t>• اگر Evidence Family واحد چند خروجی تولید کرده باشد، در Triangulation فقط یک خانواده شمرده می‌شود.</w:t>
      </w:r>
    </w:p>
    <w:p>
      <w:pPr>
        <w:spacing w:after="60"/>
        <w:ind w:left="0" w:right="0"/>
        <w:jc w:val="right"/>
        <w:bidi w:val="1"/>
      </w:pPr>
      <w:r>
        <w:rPr>
          <w:rFonts w:ascii="Vazirmatn" w:hAnsi="Vazirmatn" w:cs="Vazirmatn" w:eastAsia="Vazirmatn"/>
          <w:color w:val="1F2937"/>
          <w:sz w:val="20"/>
          <w:rtl w:val="1"/>
        </w:rPr>
        <w:t>• داده superseded یا نسخه قدیمی Dataset، Evidence Contribution صفر می‌گیرد.</w:t>
      </w:r>
    </w:p>
    <w:p>
      <w:pPr>
        <w:spacing w:before="200" w:after="100"/>
        <w:jc w:val="right"/>
        <w:bidi w:val="1"/>
      </w:pPr>
      <w:r>
        <w:rPr>
          <w:rFonts w:ascii="Vazirmatn" w:hAnsi="Vazirmatn" w:cs="Vazirmatn" w:eastAsia="Vazirmatn"/>
          <w:b/>
          <w:color w:val="162037"/>
          <w:sz w:val="34"/>
          <w:rtl w:val="1"/>
        </w:rPr>
        <w:t>۱۴. کنترل Triangulation و Double Counting</w:t>
      </w:r>
    </w:p>
    <w:p>
      <w:pPr>
        <w:spacing w:before="0" w:after="100" w:line="276" w:lineRule="auto"/>
        <w:jc w:val="right"/>
        <w:bidi w:val="1"/>
      </w:pPr>
      <w:r>
        <w:rPr>
          <w:rFonts w:ascii="Vazirmatn" w:hAnsi="Vazirmatn" w:cs="Vazirmatn" w:eastAsia="Vazirmatn"/>
          <w:b w:val="0"/>
          <w:sz w:val="21"/>
          <w:rtl w:val="1"/>
        </w:rPr>
        <w:t>در Q1 مثلث‌سازی واقعی زمانی رخ می‌دهد که یک مرحله یا الگو از چند خانواده مستقل شواهد حمایت شود. Survey، VOC و UX Observation سه خانواده متفاوت‌اند. اما جدول، نمودار و Persona ساخته‌شده از همان Survey سه منبع مستقل محسوب نمی‌شوند.</w:t>
      </w:r>
    </w:p>
    <w:tbl>
      <w:tblPr>
        <w:tblStyle w:val="TableGrid"/>
        <w:tblW w:type="auto" w:w="0"/>
        <w:jc w:val="center"/>
        <w:tblLook w:firstColumn="1" w:firstRow="1" w:lastColumn="0" w:lastRow="0" w:noHBand="0" w:noVBand="1" w:val="04A0"/>
      </w:tblPr>
      <w:tblGrid>
        <w:gridCol w:w="3494"/>
        <w:gridCol w:w="3494"/>
        <w:gridCol w:w="3494"/>
      </w:tblGrid>
      <w:tr>
        <w:tc>
          <w:tcPr>
            <w:tcW w:type="dxa" w:w="3628"/>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ادعا</w:t>
            </w:r>
          </w:p>
        </w:tc>
        <w:tc>
          <w:tcPr>
            <w:tcW w:type="dxa" w:w="4139"/>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Evidence Families</w:t>
            </w:r>
          </w:p>
        </w:tc>
        <w:tc>
          <w:tcPr>
            <w:tcW w:type="dxa" w:w="2438"/>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وضعیت Triangulation</w:t>
            </w:r>
          </w:p>
        </w:tc>
      </w:tr>
      <w:tr>
        <w:tc>
          <w:tcPr>
            <w:tcW w:type="dxa" w:w="3628"/>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Evaluation مرحله پرسیگنال‌تری از Checkout است</w:t>
            </w:r>
          </w:p>
        </w:tc>
        <w:tc>
          <w:tcPr>
            <w:tcW w:type="dxa" w:w="4139"/>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Survey + UX + VOC</w:t>
            </w:r>
          </w:p>
        </w:tc>
        <w:tc>
          <w:tcPr>
            <w:tcW w:type="dxa" w:w="243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قوی، با محدودیت نبود telemetry</w:t>
            </w:r>
          </w:p>
        </w:tc>
      </w:tr>
      <w:tr>
        <w:tc>
          <w:tcPr>
            <w:tcW w:type="dxa" w:w="3628"/>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Confidence Check بخشی از Journey است</w:t>
            </w:r>
          </w:p>
        </w:tc>
        <w:tc>
          <w:tcPr>
            <w:tcW w:type="dxa" w:w="4139"/>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Survey behavior + Never/Lapsed switching + VOC context</w:t>
            </w:r>
          </w:p>
        </w:tc>
        <w:tc>
          <w:tcPr>
            <w:tcW w:type="dxa" w:w="243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قوی</w:t>
            </w:r>
          </w:p>
        </w:tc>
      </w:tr>
      <w:tr>
        <w:tc>
          <w:tcPr>
            <w:tcW w:type="dxa" w:w="3628"/>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Checkout بدون مشکل است</w:t>
            </w:r>
          </w:p>
        </w:tc>
        <w:tc>
          <w:tcPr>
            <w:tcW w:type="dxa" w:w="4139"/>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هیچ داده کافی برای این ادعا نداریم</w:t>
            </w:r>
          </w:p>
        </w:tc>
        <w:tc>
          <w:tcPr>
            <w:tcW w:type="dxa" w:w="2438"/>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رد ادعا؛ فقط signal فعلی ضعیف‌تر است</w:t>
            </w:r>
          </w:p>
        </w:tc>
      </w:tr>
      <w:tr>
        <w:tc>
          <w:tcPr>
            <w:tcW w:type="dxa" w:w="3628"/>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Guided Advisor راه‌حل درست است</w:t>
            </w:r>
          </w:p>
        </w:tc>
        <w:tc>
          <w:tcPr>
            <w:tcW w:type="dxa" w:w="4139"/>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Q1 چنین چیزی را اثبات نمی‌کند</w:t>
            </w:r>
          </w:p>
        </w:tc>
        <w:tc>
          <w:tcPr>
            <w:tcW w:type="dxa" w:w="2438"/>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خارج از دامنه Q1</w:t>
            </w:r>
          </w:p>
        </w:tc>
      </w:tr>
    </w:tbl>
    <w:p>
      <w:pPr>
        <w:spacing w:after="40"/>
      </w:pPr>
    </w:p>
    <w:p>
      <w:pPr>
        <w:spacing w:before="200" w:after="100"/>
        <w:jc w:val="right"/>
        <w:bidi w:val="1"/>
      </w:pPr>
      <w:r>
        <w:rPr>
          <w:rFonts w:ascii="Vazirmatn" w:hAnsi="Vazirmatn" w:cs="Vazirmatn" w:eastAsia="Vazirmatn"/>
          <w:b/>
          <w:color w:val="162037"/>
          <w:sz w:val="34"/>
          <w:rtl w:val="1"/>
        </w:rPr>
        <w:t>۱۵. Sensitivity و Value of Information</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3005"/>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داده گمشده</w:t>
            </w:r>
          </w:p>
        </w:tc>
        <w:tc>
          <w:tcPr>
            <w:tcW w:type="dxa" w:w="1361"/>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Sensitivity</w:t>
            </w:r>
          </w:p>
        </w:tc>
        <w:tc>
          <w:tcPr>
            <w:tcW w:type="dxa" w:w="1361"/>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VOI</w:t>
            </w:r>
          </w:p>
        </w:tc>
        <w:tc>
          <w:tcPr>
            <w:tcW w:type="dxa" w:w="4479"/>
            <w:shd w:fill="172033"/>
            <w:tcMar>
              <w:top w:w="120" w:type="dxa"/>
              <w:start w:w="130" w:type="dxa"/>
              <w:bottom w:w="120" w:type="dxa"/>
              <w:end w:w="130" w:type="dxa"/>
            </w:tcMar>
          </w:tcPr>
          <w:p>
            <w:pPr>
              <w:jc w:val="center"/>
              <w:bidi w:val="1"/>
            </w:pPr>
            <w:r>
              <w:rPr>
                <w:rFonts w:ascii="Vazirmatn" w:hAnsi="Vazirmatn" w:cs="Vazirmatn" w:eastAsia="Vazirmatn"/>
                <w:b/>
                <w:color w:val="FFFFFF"/>
                <w:sz w:val="17"/>
                <w:rtl w:val="1"/>
              </w:rPr>
              <w:t>چرا؟</w:t>
            </w:r>
          </w:p>
        </w:tc>
      </w:tr>
      <w:tr>
        <w:tc>
          <w:tcPr>
            <w:tcW w:type="dxa" w:w="300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Behavioral funnel / event analytics</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High</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High</w:t>
            </w:r>
          </w:p>
        </w:tc>
        <w:tc>
          <w:tcPr>
            <w:tcW w:type="dxa" w:w="4479"/>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می‌تواند محل واقعی drop-off و وزن مراحل را تغییر دهد</w:t>
            </w:r>
          </w:p>
        </w:tc>
      </w:tr>
      <w:tr>
        <w:tc>
          <w:tcPr>
            <w:tcW w:type="dxa" w:w="3005"/>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Observed usability sessions</w:t>
            </w:r>
          </w:p>
        </w:tc>
        <w:tc>
          <w:tcPr>
            <w:tcW w:type="dxa" w:w="136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High</w:t>
            </w:r>
          </w:p>
        </w:tc>
        <w:tc>
          <w:tcPr>
            <w:tcW w:type="dxa" w:w="136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High</w:t>
            </w:r>
          </w:p>
        </w:tc>
        <w:tc>
          <w:tcPr>
            <w:tcW w:type="dxa" w:w="4479"/>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hesitation، backtracking و خروج واقعی را مشاهده می‌کنیم</w:t>
            </w:r>
          </w:p>
        </w:tc>
      </w:tr>
      <w:tr>
        <w:tc>
          <w:tcPr>
            <w:tcW w:type="dxa" w:w="300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Chatbot usage rate</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Medium</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Medium</w:t>
            </w:r>
          </w:p>
        </w:tc>
        <w:tc>
          <w:tcPr>
            <w:tcW w:type="dxa" w:w="4479"/>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برای اهمیت Flow کمک می‌کند، نه وجود آن</w:t>
            </w:r>
          </w:p>
        </w:tc>
      </w:tr>
      <w:tr>
        <w:tc>
          <w:tcPr>
            <w:tcW w:type="dxa" w:w="3005"/>
            <w:shd w:fill="FFFFFF"/>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Payment method share</w:t>
            </w:r>
          </w:p>
        </w:tc>
        <w:tc>
          <w:tcPr>
            <w:tcW w:type="dxa" w:w="136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Low برای Q1</w:t>
            </w:r>
          </w:p>
        </w:tc>
        <w:tc>
          <w:tcPr>
            <w:tcW w:type="dxa" w:w="1361"/>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Low</w:t>
            </w:r>
          </w:p>
        </w:tc>
        <w:tc>
          <w:tcPr>
            <w:tcW w:type="dxa" w:w="4479"/>
            <w:shd w:fill="FFFFFF"/>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در Q1 ساختار Flow مهم است؛ سهم پرداخت در فصل‌های دیگر مهم‌تر می‌شود</w:t>
            </w:r>
          </w:p>
        </w:tc>
      </w:tr>
      <w:tr>
        <w:tc>
          <w:tcPr>
            <w:tcW w:type="dxa" w:w="3005"/>
            <w:shd w:fill="FFF7FB"/>
            <w:tcMar>
              <w:top w:w="120" w:type="dxa"/>
              <w:start w:w="130" w:type="dxa"/>
              <w:bottom w:w="120" w:type="dxa"/>
              <w:end w:w="130" w:type="dxa"/>
            </w:tcMar>
            <w:vAlign w:val="center"/>
          </w:tcPr>
          <w:p>
            <w:pPr>
              <w:jc w:val="right"/>
              <w:bidi w:val="1"/>
            </w:pPr>
            <w:r>
              <w:rPr>
                <w:rFonts w:ascii="Vazirmatn" w:hAnsi="Vazirmatn" w:cs="Vazirmatn" w:eastAsia="Vazirmatn"/>
                <w:color w:val="1F2937"/>
                <w:sz w:val="17"/>
                <w:rtl w:val="1"/>
              </w:rPr>
              <w:t>Edge-case logs</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Medium</w:t>
            </w:r>
          </w:p>
        </w:tc>
        <w:tc>
          <w:tcPr>
            <w:tcW w:type="dxa" w:w="1361"/>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Medium</w:t>
            </w:r>
          </w:p>
        </w:tc>
        <w:tc>
          <w:tcPr>
            <w:tcW w:type="dxa" w:w="4479"/>
            <w:shd w:fill="FFF7FB"/>
            <w:tcMar>
              <w:top w:w="120" w:type="dxa"/>
              <w:start w:w="130" w:type="dxa"/>
              <w:bottom w:w="120" w:type="dxa"/>
              <w:end w:w="130" w:type="dxa"/>
            </w:tcMar>
            <w:vAlign w:val="center"/>
          </w:tcPr>
          <w:p>
            <w:pPr>
              <w:jc w:val="center"/>
              <w:bidi w:val="1"/>
            </w:pPr>
            <w:r>
              <w:rPr>
                <w:rFonts w:ascii="Vazirmatn" w:hAnsi="Vazirmatn" w:cs="Vazirmatn" w:eastAsia="Vazirmatn"/>
                <w:color w:val="1F2937"/>
                <w:sz w:val="17"/>
                <w:rtl w:val="1"/>
              </w:rPr>
              <w:t>برای کامل‌کردن failure paths مفید است</w:t>
            </w:r>
          </w:p>
        </w:tc>
      </w:tr>
    </w:tbl>
    <w:p>
      <w:pPr>
        <w:spacing w:after="40"/>
      </w:pPr>
    </w:p>
    <w:p>
      <w:pPr>
        <w:spacing w:before="200" w:after="100"/>
        <w:jc w:val="right"/>
        <w:bidi w:val="1"/>
      </w:pPr>
      <w:r>
        <w:rPr>
          <w:rFonts w:ascii="Vazirmatn" w:hAnsi="Vazirmatn" w:cs="Vazirmatn" w:eastAsia="Vazirmatn"/>
          <w:b/>
          <w:color w:val="162037"/>
          <w:sz w:val="34"/>
          <w:rtl w:val="1"/>
        </w:rPr>
        <w:t>۱۶. نتیجه نهایی سؤال ۱</w:t>
      </w:r>
    </w:p>
    <w:tbl>
      <w:tblPr>
        <w:tblW w:type="auto" w:w="0"/>
        <w:jc w:val="center"/>
        <w:tblLayout w:type="fixed"/>
        <w:tblLook w:firstColumn="1" w:firstRow="1" w:lastColumn="0" w:lastRow="0" w:noHBand="0" w:noVBand="1" w:val="04A0"/>
      </w:tblPr>
      <w:tblGrid>
        <w:gridCol w:w="10482"/>
      </w:tblGrid>
      <w:tr>
        <w:tc>
          <w:tcPr>
            <w:tcW w:type="dxa" w:w="9354"/>
            <w:shd w:fill="FDF2F8"/>
            <w:tcMar>
              <w:top w:w="180" w:type="dxa"/>
              <w:start w:w="220" w:type="dxa"/>
              <w:bottom w:w="180" w:type="dxa"/>
              <w:end w:w="220" w:type="dxa"/>
            </w:tcMar>
          </w:tcPr>
          <w:p>
            <w:pPr>
              <w:spacing w:after="80"/>
              <w:jc w:val="right"/>
              <w:bidi w:val="1"/>
            </w:pPr>
            <w:r>
              <w:rPr>
                <w:rFonts w:ascii="Vazirmatn" w:hAnsi="Vazirmatn" w:cs="Vazirmatn" w:eastAsia="Vazirmatn"/>
                <w:b/>
                <w:color w:val="9D174D"/>
                <w:sz w:val="22"/>
                <w:rtl w:val="1"/>
              </w:rPr>
              <w:t>بیان قابل دفاع برای ارائه</w:t>
            </w:r>
          </w:p>
          <w:p>
            <w:pPr>
              <w:spacing w:after="0" w:line="276" w:lineRule="auto"/>
              <w:jc w:val="right"/>
              <w:bidi w:val="1"/>
            </w:pPr>
            <w:r>
              <w:rPr>
                <w:rFonts w:ascii="Vazirmatn" w:hAnsi="Vazirmatn" w:cs="Vazirmatn" w:eastAsia="Vazirmatn"/>
                <w:color w:val="1F2937"/>
                <w:sz w:val="20"/>
                <w:rtl w:val="1"/>
              </w:rPr>
              <w:t>Current Journey خانومی از Trigger و Discovery وارد Evaluation می‌شود و بخش مهمی از تصمیم در Confidence Check بسته می‌شود؛ سپس PDP، Cart و Checkout به Transaction می‌رسند و تجربه با Fulfillment، Product Experience و Repurchase/Switching ادامه پیدا می‌کند. در شواهد فعلی، سیگنال‌های friction در Evaluation و Confidence Check پررنگ‌تر از Checkout هستند. این یک «نقشه Current State» است، نه اثبات علت ریشه‌ای و نه اثبات Guided Beauty Advisor.</w:t>
            </w:r>
          </w:p>
        </w:tc>
      </w:tr>
    </w:tbl>
    <w:p>
      <w:pPr>
        <w:spacing w:after="20"/>
      </w:pPr>
    </w:p>
    <w:p>
      <w:pPr>
        <w:spacing w:before="200" w:after="100"/>
        <w:jc w:val="right"/>
        <w:bidi w:val="1"/>
      </w:pPr>
      <w:r>
        <w:rPr>
          <w:rFonts w:ascii="Vazirmatn" w:hAnsi="Vazirmatn" w:cs="Vazirmatn" w:eastAsia="Vazirmatn"/>
          <w:b/>
          <w:color w:val="162037"/>
          <w:sz w:val="34"/>
          <w:rtl w:val="1"/>
        </w:rPr>
        <w:t>۱۷. این سؤال هنوز چه چیزی را ثابت نمی‌کند؟</w:t>
      </w:r>
    </w:p>
    <w:p>
      <w:pPr>
        <w:spacing w:after="60"/>
        <w:ind w:left="0" w:right="0"/>
        <w:jc w:val="right"/>
        <w:bidi w:val="1"/>
      </w:pPr>
      <w:r>
        <w:rPr>
          <w:rFonts w:ascii="Vazirmatn" w:hAnsi="Vazirmatn" w:cs="Vazirmatn" w:eastAsia="Vazirmatn"/>
          <w:color w:val="1F2937"/>
          <w:sz w:val="20"/>
          <w:rtl w:val="1"/>
        </w:rPr>
        <w:t>• ثابت نمی‌کند Guided Beauty Decision Assistant حتماً راه‌حل درست است.</w:t>
      </w:r>
    </w:p>
    <w:p>
      <w:pPr>
        <w:spacing w:after="60"/>
        <w:ind w:left="0" w:right="0"/>
        <w:jc w:val="right"/>
        <w:bidi w:val="1"/>
      </w:pPr>
      <w:r>
        <w:rPr>
          <w:rFonts w:ascii="Vazirmatn" w:hAnsi="Vazirmatn" w:cs="Vazirmatn" w:eastAsia="Vazirmatn"/>
          <w:color w:val="1F2937"/>
          <w:sz w:val="20"/>
          <w:rtl w:val="1"/>
        </w:rPr>
        <w:t>• ثابت نمی‌کند ۴۱.۳٪ کل Sessionهای خانومی خرید نمی‌کنند.</w:t>
      </w:r>
    </w:p>
    <w:p>
      <w:pPr>
        <w:spacing w:after="60"/>
        <w:ind w:left="0" w:right="0"/>
        <w:jc w:val="right"/>
        <w:bidi w:val="1"/>
      </w:pPr>
      <w:r>
        <w:rPr>
          <w:rFonts w:ascii="Vazirmatn" w:hAnsi="Vazirmatn" w:cs="Vazirmatn" w:eastAsia="Vazirmatn"/>
          <w:color w:val="1F2937"/>
          <w:sz w:val="20"/>
          <w:rtl w:val="1"/>
        </w:rPr>
        <w:t>• ثابت نمی‌کند Trust یا Authenticity مهم‌ترین مسئله همه کاربران است.</w:t>
      </w:r>
    </w:p>
    <w:p>
      <w:pPr>
        <w:spacing w:after="60"/>
        <w:ind w:left="0" w:right="0"/>
        <w:jc w:val="right"/>
        <w:bidi w:val="1"/>
      </w:pPr>
      <w:r>
        <w:rPr>
          <w:rFonts w:ascii="Vazirmatn" w:hAnsi="Vazirmatn" w:cs="Vazirmatn" w:eastAsia="Vazirmatn"/>
          <w:color w:val="1F2937"/>
          <w:sz w:val="20"/>
          <w:rtl w:val="1"/>
        </w:rPr>
        <w:t>• ثابت نمی‌کند Checkout هیچ مسئله‌ای ندارد؛ فقط در نمونه فعلی سیگنال ضعیف‌تری دارد.</w:t>
      </w:r>
    </w:p>
    <w:p>
      <w:pPr>
        <w:spacing w:after="60"/>
        <w:ind w:left="0" w:right="0"/>
        <w:jc w:val="right"/>
        <w:bidi w:val="1"/>
      </w:pPr>
      <w:r>
        <w:rPr>
          <w:rFonts w:ascii="Vazirmatn" w:hAnsi="Vazirmatn" w:cs="Vazirmatn" w:eastAsia="Vazirmatn"/>
          <w:color w:val="1F2937"/>
          <w:sz w:val="20"/>
          <w:rtl w:val="1"/>
        </w:rPr>
        <w:t>• ثابت نمی‌کند Offline همیشه بهتر از Online است؛ فقط به‌عنوان Substitute در بخشی از Never/Lapsed دیده شده است.</w:t>
      </w:r>
    </w:p>
    <w:p>
      <w:pPr>
        <w:spacing w:before="200" w:after="100"/>
        <w:jc w:val="right"/>
        <w:bidi w:val="1"/>
      </w:pPr>
      <w:r>
        <w:rPr>
          <w:rFonts w:ascii="Vazirmatn" w:hAnsi="Vazirmatn" w:cs="Vazirmatn" w:eastAsia="Vazirmatn"/>
          <w:b/>
          <w:color w:val="162037"/>
          <w:sz w:val="34"/>
          <w:rtl w:val="1"/>
        </w:rPr>
        <w:t>۱۸. اقدام بعدی برای افزایش Confidence</w:t>
      </w:r>
    </w:p>
    <w:p>
      <w:pPr>
        <w:spacing w:before="0" w:after="100" w:line="276" w:lineRule="auto"/>
        <w:jc w:val="right"/>
        <w:bidi w:val="1"/>
      </w:pPr>
      <w:r>
        <w:rPr>
          <w:rFonts w:ascii="Vazirmatn" w:hAnsi="Vazirmatn" w:cs="Vazirmatn" w:eastAsia="Vazirmatn"/>
          <w:b w:val="0"/>
          <w:sz w:val="21"/>
          <w:rtl w:val="1"/>
        </w:rPr>
        <w:t>بیشترین بازده اطلاعاتی برای Q1 از دو مسیر می‌آید:</w:t>
      </w:r>
    </w:p>
    <w:p>
      <w:pPr>
        <w:spacing w:after="60"/>
        <w:ind w:left="0" w:right="0"/>
        <w:jc w:val="right"/>
        <w:bidi w:val="1"/>
      </w:pPr>
      <w:r>
        <w:rPr>
          <w:rFonts w:ascii="Vazirmatn" w:hAnsi="Vazirmatn" w:cs="Vazirmatn" w:eastAsia="Vazirmatn"/>
          <w:color w:val="1F2937"/>
          <w:sz w:val="20"/>
          <w:rtl w:val="1"/>
        </w:rPr>
        <w:t>• ۳ تا ۵ Usability Task مشاهده‌ای روی سناریوهای Need-based و SKU-known؛ ثبت hesitation، backtracking، external comparison و task completion.</w:t>
      </w:r>
    </w:p>
    <w:p>
      <w:pPr>
        <w:spacing w:after="60"/>
        <w:ind w:left="0" w:right="0"/>
        <w:jc w:val="right"/>
        <w:bidi w:val="1"/>
      </w:pPr>
      <w:r>
        <w:rPr>
          <w:rFonts w:ascii="Vazirmatn" w:hAnsi="Vazirmatn" w:cs="Vazirmatn" w:eastAsia="Vazirmatn"/>
          <w:color w:val="1F2937"/>
          <w:sz w:val="20"/>
          <w:rtl w:val="1"/>
        </w:rPr>
        <w:t>• داده Event/Funnel در سطح Session برای Search → PLP → PDP → ATC → Checkout و در صورت امکان خروج به کانال‌های خارجی.</w:t>
      </w:r>
    </w:p>
    <w:p>
      <w:pPr>
        <w:spacing w:before="0" w:after="100" w:line="276" w:lineRule="auto"/>
        <w:jc w:val="right"/>
        <w:bidi w:val="1"/>
      </w:pPr>
      <w:r>
        <w:rPr>
          <w:rFonts w:ascii="Vazirmatn" w:hAnsi="Vazirmatn" w:cs="Vazirmatn" w:eastAsia="Vazirmatn"/>
          <w:b w:val="0"/>
          <w:color w:val="374151"/>
          <w:sz w:val="19"/>
          <w:rtl w:val="1"/>
        </w:rPr>
        <w:t>اگر این دو منبع با Journey فعلی هم‌راستا باشند، Confidence ساختار Flow می‌تواند افزایش یابد؛ اگر خلاف آن را نشان دهند، نقشه باید اصلاح شود. هدف DECAF دفاع از مدل فعلی نیست؛ هدف این است که مشخص کند چه داده‌ای می‌تواند آن را تغییر دهد.</w:t>
      </w:r>
    </w:p>
    <w:p>
      <w:pPr>
        <w:spacing w:before="200" w:after="100"/>
        <w:jc w:val="right"/>
        <w:bidi w:val="1"/>
      </w:pPr>
      <w:r>
        <w:rPr>
          <w:rFonts w:ascii="Vazirmatn" w:hAnsi="Vazirmatn" w:cs="Vazirmatn" w:eastAsia="Vazirmatn"/>
          <w:b/>
          <w:color w:val="162037"/>
          <w:sz w:val="34"/>
          <w:rtl w:val="1"/>
        </w:rPr>
        <w:t>۱۹. رجیستری منابع استفاده‌شده</w:t>
      </w:r>
    </w:p>
    <w:p>
      <w:pPr>
        <w:spacing w:after="60"/>
        <w:ind w:left="0" w:right="0"/>
        <w:jc w:val="right"/>
        <w:bidi w:val="1"/>
      </w:pPr>
      <w:r>
        <w:rPr>
          <w:rFonts w:ascii="Vazirmatn" w:hAnsi="Vazirmatn" w:cs="Vazirmatn" w:eastAsia="Vazirmatn"/>
          <w:color w:val="1F2937"/>
          <w:sz w:val="20"/>
          <w:rtl w:val="1"/>
        </w:rPr>
        <w:t>• S1 — Survey خریداران ۱۲ ماه اخیر خانومی؛ n=46.</w:t>
      </w:r>
    </w:p>
    <w:p>
      <w:pPr>
        <w:spacing w:after="60"/>
        <w:ind w:left="0" w:right="0"/>
        <w:jc w:val="right"/>
        <w:bidi w:val="1"/>
      </w:pPr>
      <w:r>
        <w:rPr>
          <w:rFonts w:ascii="Vazirmatn" w:hAnsi="Vazirmatn" w:cs="Vazirmatn" w:eastAsia="Vazirmatn"/>
          <w:color w:val="1F2937"/>
          <w:sz w:val="20"/>
          <w:rtl w:val="1"/>
        </w:rPr>
        <w:t>• S2 — Survey Never/Lapsed؛ n=28، شامل 17 Never و 11 Lapsed.</w:t>
      </w:r>
    </w:p>
    <w:p>
      <w:pPr>
        <w:spacing w:after="60"/>
        <w:ind w:left="0" w:right="0"/>
        <w:jc w:val="right"/>
        <w:bidi w:val="1"/>
      </w:pPr>
      <w:r>
        <w:rPr>
          <w:rFonts w:ascii="Vazirmatn" w:hAnsi="Vazirmatn" w:cs="Vazirmatn" w:eastAsia="Vazirmatn"/>
          <w:color w:val="1F2937"/>
          <w:sz w:val="20"/>
          <w:rtl w:val="1"/>
        </w:rPr>
        <w:t>• S3 — khanoumi-comments-cleaned.csv؛ 39,737 کامنت تمیزشده و 4,023 کامنت Problem-tagged.</w:t>
      </w:r>
    </w:p>
    <w:p>
      <w:pPr>
        <w:spacing w:after="60"/>
        <w:ind w:left="0" w:right="0"/>
        <w:jc w:val="right"/>
        <w:bidi w:val="1"/>
      </w:pPr>
      <w:r>
        <w:rPr>
          <w:rFonts w:ascii="Vazirmatn" w:hAnsi="Vazirmatn" w:cs="Vazirmatn" w:eastAsia="Vazirmatn"/>
          <w:color w:val="1F2937"/>
          <w:sz w:val="20"/>
          <w:rtl w:val="1"/>
        </w:rPr>
        <w:t>• S4 — khanoumi-comments.csv؛ 76,837 کامنت خام؛ برای Data Lineage.</w:t>
      </w:r>
    </w:p>
    <w:p>
      <w:pPr>
        <w:spacing w:after="60"/>
        <w:ind w:left="0" w:right="0"/>
        <w:jc w:val="right"/>
        <w:bidi w:val="1"/>
      </w:pPr>
      <w:r>
        <w:rPr>
          <w:rFonts w:ascii="Vazirmatn" w:hAnsi="Vazirmatn" w:cs="Vazirmatn" w:eastAsia="Vazirmatn"/>
          <w:color w:val="1F2937"/>
          <w:sz w:val="20"/>
          <w:rtl w:val="1"/>
        </w:rPr>
        <w:t>• S5 — UX Review پروژه: Landing، Chatbot و Purchase/Checkout flow؛ expert observational evidence.</w:t>
      </w:r>
    </w:p>
    <w:p>
      <w:pPr>
        <w:spacing w:after="60"/>
        <w:ind w:left="0" w:right="0"/>
        <w:jc w:val="right"/>
        <w:bidi w:val="1"/>
      </w:pPr>
      <w:r>
        <w:rPr>
          <w:rFonts w:ascii="Vazirmatn" w:hAnsi="Vazirmatn" w:cs="Vazirmatn" w:eastAsia="Vazirmatn"/>
          <w:color w:val="1F2937"/>
          <w:sz w:val="20"/>
          <w:rtl w:val="1"/>
        </w:rPr>
        <w:t>• S6 — گزارش‌های رسمی و مدیریتی خانومی؛ فقط برای context و کنترل تفسیر، نه ساخت نرخ‌های رفتاری.</w:t>
      </w:r>
    </w:p>
    <w:p>
      <w:pPr>
        <w:spacing w:before="200" w:after="0" w:line="276" w:lineRule="auto"/>
        <w:jc w:val="center"/>
        <w:bidi w:val="1"/>
      </w:pPr>
      <w:r>
        <w:rPr>
          <w:rFonts w:ascii="Vazirmatn" w:hAnsi="Vazirmatn" w:cs="Vazirmatn" w:eastAsia="Vazirmatn"/>
          <w:b w:val="0"/>
          <w:color w:val="6B7280"/>
          <w:sz w:val="17"/>
          <w:rtl w:val="1"/>
        </w:rPr>
        <w:t>نسخه روش: DECAF Quantification v1.0  |  فصل: Q1  |  وضعیت: منتخب برای استفاده در پروژه نهایی</w:t>
      </w:r>
    </w:p>
    <w:sectPr w:rsidR="00FC693F" w:rsidRPr="0006063C" w:rsidSect="00034616">
      <w:headerReference w:type="default" r:id="rId9"/>
      <w:footerReference w:type="default" r:id="rId10"/>
      <w:pgSz w:w="12240" w:h="15840"/>
      <w:pgMar w:top="850" w:right="879" w:bottom="822" w:left="879"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color w:val="6B7280"/>
        <w:sz w:val="16"/>
        <w:rtl w:val="1"/>
      </w:rPr>
      <w:t>Q1  •  Current-State User Flows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color w:val="6B7280"/>
        <w:sz w:val="17"/>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