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40" w:line="276" w:lineRule="auto"/>
        <w:jc w:val="right"/>
        <w:bidi w:val="1"/>
      </w:pPr>
      <w:r>
        <w:rPr>
          <w:rFonts w:ascii="Vazirmatn" w:hAnsi="Vazirmatn" w:cs="Vazirmatn" w:eastAsia="Vazirmatn"/>
          <w:b/>
          <w:color w:val="C52465"/>
          <w:sz w:val="36"/>
          <w:rtl w:val="1"/>
        </w:rPr>
        <w:t>سؤال 6</w:t>
      </w:r>
    </w:p>
    <w:p>
      <w:pPr>
        <w:spacing w:before="0" w:after="80" w:line="276" w:lineRule="auto"/>
        <w:jc w:val="right"/>
        <w:bidi w:val="1"/>
      </w:pPr>
      <w:r>
        <w:rPr>
          <w:rFonts w:ascii="Vazirmatn" w:hAnsi="Vazirmatn" w:cs="Vazirmatn" w:eastAsia="Vazirmatn"/>
          <w:b/>
          <w:color w:val="162037"/>
          <w:sz w:val="50"/>
          <w:rtl w:val="1"/>
        </w:rPr>
        <w:t>مقایسه قابلیت‌های رقبا</w:t>
      </w:r>
    </w:p>
    <w:p>
      <w:pPr>
        <w:spacing w:before="0" w:after="320" w:line="276" w:lineRule="auto"/>
        <w:jc w:val="right"/>
        <w:bidi w:val="1"/>
      </w:pPr>
      <w:r>
        <w:rPr>
          <w:rFonts w:ascii="Vazirmatn" w:hAnsi="Vazirmatn" w:cs="Vazirmatn" w:eastAsia="Vazirmatn"/>
          <w:b w:val="0"/>
          <w:color w:val="4B5563"/>
          <w:sz w:val="25"/>
          <w:rtl w:val="1"/>
        </w:rPr>
        <w:t>Competitive Capability Comparison</w:t>
      </w:r>
    </w:p>
    <w:tbl>
      <w:tblPr>
        <w:tblW w:type="auto" w:w="0"/>
        <w:jc w:val="center"/>
        <w:tblLook w:firstColumn="1" w:firstRow="1" w:lastColumn="0" w:lastRow="0" w:noHBand="0" w:noVBand="1" w:val="04A0"/>
      </w:tblPr>
      <w:tblGrid>
        <w:gridCol w:w="10540"/>
      </w:tblGrid>
      <w:tr>
        <w:tc>
          <w:tcPr>
            <w:tcW w:type="dxa" w:w="10540"/>
            <w:shd w:fill="FDF2F8"/>
            <w:tcMar>
              <w:top w:w="170" w:type="dxa"/>
              <w:start w:w="210" w:type="dxa"/>
              <w:bottom w:w="170" w:type="dxa"/>
              <w:end w:w="210" w:type="dxa"/>
            </w:tcMar>
          </w:tcPr>
          <w:p>
            <w:pPr>
              <w:spacing w:after="60"/>
              <w:jc w:val="right"/>
              <w:bidi w:val="1"/>
            </w:pPr>
            <w:r>
              <w:rPr>
                <w:rFonts w:ascii="Vazirmatn" w:hAnsi="Vazirmatn" w:cs="Vazirmatn" w:eastAsia="Vazirmatn"/>
                <w:b/>
                <w:color w:val="9D174D"/>
                <w:sz w:val="22"/>
                <w:rtl w:val="1"/>
              </w:rPr>
              <w:t>خلاصه فصل</w:t>
            </w:r>
          </w:p>
          <w:p>
            <w:pPr>
              <w:spacing w:after="0" w:line="276" w:lineRule="auto"/>
              <w:jc w:val="right"/>
              <w:bidi w:val="1"/>
            </w:pPr>
            <w:r>
              <w:rPr>
                <w:rFonts w:ascii="Vazirmatn" w:hAnsi="Vazirmatn" w:cs="Vazirmatn" w:eastAsia="Vazirmatn"/>
                <w:b w:val="0"/>
                <w:color w:val="1F2937"/>
                <w:sz w:val="20"/>
                <w:rtl w:val="1"/>
              </w:rPr>
              <w:t>Feature comparison از حالت جدول تیک و ضربدر خارج شد و به Capability-level analysis تبدیل شد. یعنی «چت‌بات دارد/ندارد» کافی نیست؛ باید ببینیم آیا Guidance، Personalization، Product Information، Consultation یا Loyalty واقعاً در Journey ادغام شده و برای چه Jobی کار می‌کند.</w:t>
            </w:r>
          </w:p>
        </w:tc>
      </w:tr>
    </w:tbl>
    <w:p>
      <w:pPr>
        <w:spacing w:before="0" w:after="20" w:line="276" w:lineRule="auto"/>
        <w:jc w:val="right"/>
        <w:bidi w:val="1"/>
      </w:pPr>
      <w:r>
        <w:rPr>
          <w:rFonts w:ascii="Vazirmatn" w:hAnsi="Vazirmatn" w:cs="Vazirmatn" w:eastAsia="Vazirmatn"/>
          <w:b w:val="0"/>
          <w:color w:val="1F2937"/>
          <w:sz w:val="20"/>
          <w:rtl w:val="1"/>
        </w:rPr>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Confidence نهایی</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کلاس</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امتیاز خام</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روش</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89 / 100</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A — قابل پذیرش و دفاع</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88.8</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DECAF Quantification v1.0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60" w:line="276" w:lineRule="auto"/>
        <w:jc w:val="right"/>
        <w:bidi w:val="1"/>
      </w:pPr>
      <w:r>
        <w:rPr>
          <w:rFonts w:ascii="Vazirmatn" w:hAnsi="Vazirmatn" w:cs="Vazirmatn" w:eastAsia="Vazirmatn"/>
          <w:b w:val="0"/>
          <w:color w:val="4B5563"/>
          <w:sz w:val="18"/>
          <w:rtl w:val="1"/>
        </w:rPr>
        <w:t>این نمره احتمال آماری موفقیت نیست؛ یک Decision Confidence Score ترتیبی است که کیفیت Evidence، پوشش داده لازم، Triangulation، فرض‌ها و حساسیت به Missing Data را خلاصه می‌کند.</w:t>
      </w:r>
    </w:p>
    <w:p>
      <w:pPr>
        <w:spacing w:before="180" w:after="80"/>
        <w:jc w:val="right"/>
        <w:bidi w:val="1"/>
      </w:pPr>
      <w:r>
        <w:rPr>
          <w:rFonts w:ascii="Vazirmatn" w:hAnsi="Vazirmatn" w:cs="Vazirmatn" w:eastAsia="Vazirmatn"/>
          <w:b/>
          <w:color w:val="162037"/>
          <w:sz w:val="33"/>
          <w:rtl w:val="1"/>
        </w:rPr>
        <w:t>۱. روایت فصل — چه اتفاقی افتاد؟</w:t>
      </w:r>
    </w:p>
    <w:p>
      <w:pPr>
        <w:spacing w:before="0" w:after="100" w:line="276" w:lineRule="auto"/>
        <w:jc w:val="right"/>
        <w:bidi w:val="1"/>
      </w:pPr>
      <w:r>
        <w:rPr>
          <w:rFonts w:ascii="Vazirmatn" w:hAnsi="Vazirmatn" w:cs="Vazirmatn" w:eastAsia="Vazirmatn"/>
          <w:b w:val="0"/>
          <w:color w:val="1F2937"/>
          <w:sz w:val="20"/>
          <w:rtl w:val="1"/>
        </w:rPr>
        <w:t>Feature comparison از حالت جدول تیک و ضربدر خارج شد و به Capability-level analysis تبدیل شد. یعنی «چت‌بات دارد/ندارد» کافی نیست؛ باید ببینیم آیا Guidance، Personalization، Product Information، Consultation یا Loyalty واقعاً در Journey ادغام شده و برای چه Jobی کار می‌کند.</w:t>
      </w:r>
    </w:p>
    <w:p>
      <w:pPr>
        <w:spacing w:before="180" w:after="80"/>
        <w:jc w:val="right"/>
        <w:bidi w:val="1"/>
      </w:pPr>
      <w:r>
        <w:rPr>
          <w:rFonts w:ascii="Vazirmatn" w:hAnsi="Vazirmatn" w:cs="Vazirmatn" w:eastAsia="Vazirmatn"/>
          <w:b/>
          <w:color w:val="162037"/>
          <w:sz w:val="33"/>
          <w:rtl w:val="1"/>
        </w:rPr>
        <w:t>۲. سؤال تصمیمی</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Decision Question</w:t>
            </w:r>
          </w:p>
          <w:p>
            <w:pPr>
              <w:spacing w:after="0" w:line="276" w:lineRule="auto"/>
              <w:jc w:val="right"/>
              <w:bidi w:val="1"/>
            </w:pPr>
            <w:r>
              <w:rPr>
                <w:rFonts w:ascii="Vazirmatn" w:hAnsi="Vazirmatn" w:cs="Vazirmatn" w:eastAsia="Vazirmatn"/>
                <w:b w:val="0"/>
                <w:color w:val="1F2937"/>
                <w:sz w:val="20"/>
                <w:rtl w:val="1"/>
              </w:rPr>
              <w:t>آیا مقایسه قابلیت‌ها واقعاً به تصمیم محصول کمک می‌کند یا فقط فهرست Featureهای رقباست؟</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۳. نتیجه پروژه در این مرحله</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موضوع</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w:t>
            </w:r>
          </w:p>
        </w:tc>
        <w:tc>
          <w:tcPr>
            <w:tcW w:type="dxa" w:w="249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 جایگاه</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تفسیر</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Guided Decision Support</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Gap / فرصت</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در Global leaders matureتر است؛ در بازار داخلی محدودتر یا پراکنده.</w:t>
            </w:r>
          </w:p>
        </w:tc>
        <w:tc>
          <w:tcPr>
            <w:tcW w:type="dxa" w:w="2948"/>
          </w:tcP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Rich Product Information</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Table stakes + depth gap</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وجود اطلاعات کافی نیست؛ کیفیت و کاربرد تصمیمی مهم است.</w:t>
            </w:r>
          </w:p>
        </w:tc>
        <w:tc>
          <w:tcPr>
            <w:tcW w:type="dxa" w:w="2948"/>
          </w:tcP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Reviews / Social Proof</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Table stakes</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وجود گسترده؛ تمایز از طریق کیفیت و relevance.</w:t>
            </w:r>
          </w:p>
        </w:tc>
        <w:tc>
          <w:tcPr>
            <w:tcW w:type="dxa" w:w="2948"/>
          </w:tcP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Consultation</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Mechanism مهم</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به Need تصمیم‌گیری وصل است؛ می‌تواند انسانی یا دیجیتال باشد.</w:t>
            </w:r>
          </w:p>
        </w:tc>
        <w:tc>
          <w:tcPr>
            <w:tcW w:type="dxa" w:w="2948"/>
          </w:tcP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Personalization</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Strategic capability</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در رهبران جهانی بخشی از Journey و loyalty است.</w:t>
            </w:r>
          </w:p>
        </w:tc>
        <w:tc>
          <w:tcPr>
            <w:tcW w:type="dxa" w:w="2948"/>
          </w:tcP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Loyalty</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Retention capability</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مهم اما برای Problem اصلی Discovery اولویت اول نیست.</w:t>
            </w:r>
          </w:p>
        </w:tc>
        <w:tc>
          <w:tcPr>
            <w:tcW w:type="dxa" w:w="2948"/>
          </w:tcP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۴. Evidence Base و مرز استنتاج</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مرز مهم</w:t>
            </w:r>
          </w:p>
          <w:p>
            <w:pPr>
              <w:spacing w:after="0" w:line="276" w:lineRule="auto"/>
              <w:jc w:val="right"/>
              <w:bidi w:val="1"/>
            </w:pPr>
            <w:r>
              <w:rPr>
                <w:rFonts w:ascii="Vazirmatn" w:hAnsi="Vazirmatn" w:cs="Vazirmatn" w:eastAsia="Vazirmatn"/>
                <w:b w:val="0"/>
                <w:color w:val="1F2937"/>
                <w:sz w:val="20"/>
                <w:rtl w:val="1"/>
              </w:rPr>
              <w:t>هرجا داده مستقیم نداریم، نتیجه با برچسب «استنتاج» یا «فرضیه» بیان می‌شود. مشتقات یک Dataset به‌عنوان منابع مستقل در Triangulation شمرده نمی‌شوند.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۵. داده‌های لازم و وضعیت دسترسی</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ورودی لازم</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 اهمیت</w:t>
            </w:r>
          </w:p>
        </w:tc>
        <w:tc>
          <w:tcPr>
            <w:tcW w:type="dxa" w:w="243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 فعلی</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Score</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Capability Taxonomy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Direct Competitor Coverage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93/100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Global Benchmark Coverage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Functional Comparability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86/100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Verified Feature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Feature Depth / Maturity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User Relevance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Strategic Relevance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Parity / Differentiation Interpretation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Recency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۶. Missing Data: چه چیزی را می‌توانیم و نمی‌توانیم حل کنیم؟</w:t>
      </w:r>
    </w:p>
    <w:p>
      <w:pPr>
        <w:spacing w:after="60"/>
        <w:jc w:val="right"/>
        <w:bidi w:val="1"/>
      </w:pPr>
      <w:r>
        <w:rPr>
          <w:rFonts w:ascii="Vazirmatn" w:hAnsi="Vazirmatn" w:cs="Vazirmatn" w:eastAsia="Vazirmatn"/>
          <w:b w:val="0"/>
          <w:color w:val="1F2937"/>
          <w:sz w:val="20"/>
          <w:rtl w:val="1"/>
        </w:rPr>
        <w:t>• Usage/adoption واقعی قابلیت‌های رقبا</w:t>
      </w:r>
    </w:p>
    <w:p>
      <w:pPr>
        <w:spacing w:after="60"/>
        <w:jc w:val="right"/>
        <w:bidi w:val="1"/>
      </w:pPr>
      <w:r>
        <w:rPr>
          <w:rFonts w:ascii="Vazirmatn" w:hAnsi="Vazirmatn" w:cs="Vazirmatn" w:eastAsia="Vazirmatn"/>
          <w:b w:val="0"/>
          <w:color w:val="1F2937"/>
          <w:sz w:val="20"/>
          <w:rtl w:val="1"/>
        </w:rPr>
        <w:t>• کیفیت و conversion impact فیچرهای داخلی</w:t>
      </w:r>
    </w:p>
    <w:p>
      <w:pPr>
        <w:spacing w:after="60"/>
        <w:jc w:val="right"/>
        <w:bidi w:val="1"/>
      </w:pPr>
      <w:r>
        <w:rPr>
          <w:rFonts w:ascii="Vazirmatn" w:hAnsi="Vazirmatn" w:cs="Vazirmatn" w:eastAsia="Vazirmatn"/>
          <w:b w:val="0"/>
          <w:color w:val="1F2937"/>
          <w:sz w:val="20"/>
          <w:rtl w:val="1"/>
        </w:rPr>
        <w:t>• بررسی usability یکسان با task ثابت در همه رقبا</w:t>
      </w:r>
    </w:p>
    <w:p>
      <w:pPr>
        <w:spacing w:before="0" w:after="100" w:line="276" w:lineRule="auto"/>
        <w:jc w:val="right"/>
        <w:bidi w:val="1"/>
      </w:pPr>
      <w:r>
        <w:rPr>
          <w:rFonts w:ascii="Vazirmatn" w:hAnsi="Vazirmatn" w:cs="Vazirmatn" w:eastAsia="Vazirmatn"/>
          <w:b/>
          <w:color w:val="C52465"/>
          <w:sz w:val="20"/>
          <w:rtl w:val="1"/>
        </w:rPr>
        <w:t>طبقه‌بندی:</w:t>
      </w:r>
    </w:p>
    <w:p>
      <w:pPr>
        <w:spacing w:after="60"/>
        <w:jc w:val="right"/>
        <w:bidi w:val="1"/>
      </w:pPr>
      <w:r>
        <w:rPr>
          <w:rFonts w:ascii="Vazirmatn" w:hAnsi="Vazirmatn" w:cs="Vazirmatn" w:eastAsia="Vazirmatn"/>
          <w:b w:val="0"/>
          <w:color w:val="1F2937"/>
          <w:sz w:val="20"/>
          <w:rtl w:val="1"/>
        </w:rPr>
        <w:t>• قابل برآورد: فقط وقتی range یا proxy معتبر داریم و نتیجه نسبت به آن Robust باشد.</w:t>
      </w:r>
    </w:p>
    <w:p>
      <w:pPr>
        <w:spacing w:after="60"/>
        <w:jc w:val="right"/>
        <w:bidi w:val="1"/>
      </w:pPr>
      <w:r>
        <w:rPr>
          <w:rFonts w:ascii="Vazirmatn" w:hAnsi="Vazirmatn" w:cs="Vazirmatn" w:eastAsia="Vazirmatn"/>
          <w:b w:val="0"/>
          <w:color w:val="1F2937"/>
          <w:sz w:val="20"/>
          <w:rtl w:val="1"/>
        </w:rPr>
        <w:t>• قابل اغماض: داده‌ای که نبودنش تصمیم این فصل را تغییر نمی‌دهد.</w:t>
      </w:r>
    </w:p>
    <w:p>
      <w:pPr>
        <w:spacing w:after="60"/>
        <w:jc w:val="right"/>
        <w:bidi w:val="1"/>
      </w:pPr>
      <w:r>
        <w:rPr>
          <w:rFonts w:ascii="Vazirmatn" w:hAnsi="Vazirmatn" w:cs="Vazirmatn" w:eastAsia="Vazirmatn"/>
          <w:b w:val="0"/>
          <w:color w:val="1F2937"/>
          <w:sz w:val="20"/>
          <w:rtl w:val="1"/>
        </w:rPr>
        <w:t>• Critical Unknown: داده‌ای که می‌تواند Ranking، Feature Selection یا توصیه Build/Test را عوض کند؛ برای آن عددسازی نمی‌کنیم.</w:t>
      </w:r>
    </w:p>
    <w:p>
      <w:pPr>
        <w:spacing w:before="180" w:after="80"/>
        <w:jc w:val="right"/>
        <w:bidi w:val="1"/>
      </w:pPr>
      <w:r>
        <w:rPr>
          <w:rFonts w:ascii="Vazirmatn" w:hAnsi="Vazirmatn" w:cs="Vazirmatn" w:eastAsia="Vazirmatn"/>
          <w:b/>
          <w:color w:val="162037"/>
          <w:sz w:val="33"/>
          <w:rtl w:val="1"/>
        </w:rPr>
        <w:t>۷. مدل کوانتیفیکیشن اختصاصی فصل</w:t>
      </w:r>
    </w:p>
    <w:p>
      <w:pPr>
        <w:spacing w:before="0" w:after="100" w:line="276" w:lineRule="auto"/>
        <w:jc w:val="right"/>
        <w:bidi w:val="1"/>
      </w:pPr>
      <w:r>
        <w:rPr>
          <w:rFonts w:ascii="Vazirmatn" w:hAnsi="Vazirmatn" w:cs="Vazirmatn" w:eastAsia="Vazirmatn"/>
          <w:b w:val="0"/>
          <w:color w:val="1F2937"/>
          <w:sz w:val="20"/>
          <w:rtl w:val="1"/>
        </w:rPr>
        <w:t>وزن معیارها بین فصل‌ها متفاوت است چون سؤال تصمیمی متفاوت است؛ اما قواعد پایه DECAF، تعریف Confidence، Triangulation، Cap Rule و Double-counting Control ثابت می‌مانند.</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معیار</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w:t>
            </w:r>
          </w:p>
        </w:tc>
        <w:tc>
          <w:tcPr>
            <w:tcW w:type="dxa" w:w="141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نمره ۰–۱۰۰</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سهم وزنی</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Capability Taxonomy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13.5</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Direct Competitor Coverage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93</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13.9</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Global Benchmark Coverage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Functional Comparability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86</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8.6</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Verified Feature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Feature Depth / Maturity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User Relevance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Strategic Relevance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Parity / Differentiation Interpretation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6.0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Recency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4.8</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00" w:line="276" w:lineRule="auto"/>
        <w:jc w:val="right"/>
        <w:bidi w:val="1"/>
      </w:pPr>
      <w:r>
        <w:rPr>
          <w:rFonts w:ascii="Vazirmatn" w:hAnsi="Vazirmatn" w:cs="Vazirmatn" w:eastAsia="Vazirmatn"/>
          <w:b/>
          <w:color w:val="162037"/>
          <w:sz w:val="22"/>
          <w:rtl w:val="1"/>
        </w:rPr>
        <w:t>امتیاز خام = 88.8 از 100</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اعمال Cap / Penalty</w:t>
            </w:r>
          </w:p>
          <w:p>
            <w:pPr>
              <w:spacing w:after="0" w:line="276" w:lineRule="auto"/>
              <w:jc w:val="right"/>
              <w:bidi w:val="1"/>
            </w:pPr>
            <w:r>
              <w:rPr>
                <w:rFonts w:ascii="Vazirmatn" w:hAnsi="Vazirmatn" w:cs="Vazirmatn" w:eastAsia="Vazirmatn"/>
                <w:b w:val="0"/>
                <w:color w:val="1F2937"/>
                <w:sz w:val="20"/>
                <w:rtl w:val="1"/>
              </w:rPr>
              <w:t>بدون Cap مؤثر</w:t>
            </w:r>
          </w:p>
        </w:tc>
      </w:tr>
    </w:tbl>
    <w:p>
      <w:pPr>
        <w:spacing w:before="0" w:after="20" w:line="276" w:lineRule="auto"/>
        <w:jc w:val="right"/>
        <w:bidi w:val="1"/>
      </w:pPr>
      <w:r>
        <w:rPr>
          <w:rFonts w:ascii="Vazirmatn" w:hAnsi="Vazirmatn" w:cs="Vazirmatn" w:eastAsia="Vazirmatn"/>
          <w:b w:val="0"/>
          <w:color w:val="1F2937"/>
          <w:sz w:val="20"/>
          <w:rtl w:val="1"/>
        </w:rPr>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Confidence نهایی</w:t>
            </w:r>
          </w:p>
          <w:p>
            <w:pPr>
              <w:spacing w:after="0" w:line="276" w:lineRule="auto"/>
              <w:jc w:val="right"/>
              <w:bidi w:val="1"/>
            </w:pPr>
            <w:r>
              <w:rPr>
                <w:rFonts w:ascii="Vazirmatn" w:hAnsi="Vazirmatn" w:cs="Vazirmatn" w:eastAsia="Vazirmatn"/>
                <w:b w:val="0"/>
                <w:color w:val="1F2937"/>
                <w:sz w:val="20"/>
                <w:rtl w:val="1"/>
              </w:rPr>
              <w:t>89/100 — A — قابل پذیرش و دفاع</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۸. Rubric ثابت Evidence Quality</w:t>
      </w:r>
    </w:p>
    <w:tbl>
      <w:tblPr>
        <w:tblStyle w:val="TableGrid"/>
        <w:tblW w:type="auto" w:w="0"/>
        <w:jc w:val="center"/>
        <w:tblLook w:firstColumn="1" w:firstRow="1" w:lastColumn="0" w:lastRow="0" w:noHBand="0" w:noVBand="1" w:val="04A0"/>
      </w:tblPr>
      <w:tblGrid>
        <w:gridCol w:w="5270"/>
        <w:gridCol w:w="5270"/>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بازه</w:t>
            </w:r>
          </w:p>
        </w:tc>
        <w:tc>
          <w:tcPr>
            <w:tcW w:type="dxa" w:w="7087"/>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تفسیر</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90–100</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داده مستقیم/رسمی تازه یا رفتار مشاهده‌شده معتبر؛ محدودیت‌ها روشن.</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75–89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Evidence قوی ولی با یک یا چند gap غیرکشنده.</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50–74</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Proxy معتبر، نمونه محدود یا Evidence تک‌روشی؛ قابل استفاده با Caveat.</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30–49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استنتاج کارشناسی یا داده ضعیف؛ Hypothesis.</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0–29</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بدون پشتوانه کافی؛ فاقد ارزش برای تصمیم قطعی.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۹. Evidence Triangulation و Double Counting</w:t>
      </w:r>
    </w:p>
    <w:p>
      <w:pPr>
        <w:spacing w:before="0" w:after="100" w:line="276" w:lineRule="auto"/>
        <w:jc w:val="right"/>
        <w:bidi w:val="1"/>
      </w:pPr>
      <w:r>
        <w:rPr>
          <w:rFonts w:ascii="Vazirmatn" w:hAnsi="Vazirmatn" w:cs="Vazirmatn" w:eastAsia="Vazirmatn"/>
          <w:b w:val="0"/>
          <w:color w:val="1F2937"/>
          <w:sz w:val="20"/>
          <w:rtl w:val="1"/>
        </w:rPr>
        <w:t>Triangulation یعنی رسیدن خانواده‌های مستقل Evidence به یک نتیجه مشابه. استقلال مهم‌تر از تعداد فایل‌هاست. Survey، Interview و VOC می‌توانند سه خانواده مستقل باشند؛ اما Chart، Persona و Summary ساخته‌شده از همان Survey سه منبع مستقل نیستند.</w:t>
      </w:r>
    </w:p>
    <w:p>
      <w:pPr>
        <w:spacing w:after="60"/>
        <w:jc w:val="right"/>
        <w:bidi w:val="1"/>
      </w:pPr>
      <w:r>
        <w:rPr>
          <w:rFonts w:ascii="Vazirmatn" w:hAnsi="Vazirmatn" w:cs="Vazirmatn" w:eastAsia="Vazirmatn"/>
          <w:b w:val="0"/>
          <w:color w:val="1F2937"/>
          <w:sz w:val="20"/>
          <w:rtl w:val="1"/>
        </w:rPr>
        <w:t>• Data Triangulation: چند منبع/نمونه مستقل.</w:t>
      </w:r>
    </w:p>
    <w:p>
      <w:pPr>
        <w:spacing w:after="60"/>
        <w:jc w:val="right"/>
        <w:bidi w:val="1"/>
      </w:pPr>
      <w:r>
        <w:rPr>
          <w:rFonts w:ascii="Vazirmatn" w:hAnsi="Vazirmatn" w:cs="Vazirmatn" w:eastAsia="Vazirmatn"/>
          <w:b w:val="0"/>
          <w:color w:val="1F2937"/>
          <w:sz w:val="20"/>
          <w:rtl w:val="1"/>
        </w:rPr>
        <w:t>• Method Triangulation: ترکیب Survey، Interview، Observation/Behavior و تحلیل اسنادی.</w:t>
      </w:r>
    </w:p>
    <w:p>
      <w:pPr>
        <w:spacing w:after="60"/>
        <w:jc w:val="right"/>
        <w:bidi w:val="1"/>
      </w:pPr>
      <w:r>
        <w:rPr>
          <w:rFonts w:ascii="Vazirmatn" w:hAnsi="Vazirmatn" w:cs="Vazirmatn" w:eastAsia="Vazirmatn"/>
          <w:b w:val="0"/>
          <w:color w:val="1F2937"/>
          <w:sz w:val="20"/>
          <w:rtl w:val="1"/>
        </w:rPr>
        <w:t>• یک Evidence Family فقط یک‌بار در شمارش استقلال لحاظ می‌شود.</w:t>
      </w:r>
    </w:p>
    <w:p>
      <w:pPr>
        <w:spacing w:before="180" w:after="80"/>
        <w:jc w:val="right"/>
        <w:bidi w:val="1"/>
      </w:pPr>
      <w:r>
        <w:rPr>
          <w:rFonts w:ascii="Vazirmatn" w:hAnsi="Vazirmatn" w:cs="Vazirmatn" w:eastAsia="Vazirmatn"/>
          <w:b/>
          <w:color w:val="162037"/>
          <w:sz w:val="33"/>
          <w:rtl w:val="1"/>
        </w:rPr>
        <w:t>۱۰. Cap Rules ویژه این فصل</w:t>
      </w:r>
    </w:p>
    <w:p>
      <w:pPr>
        <w:spacing w:after="60"/>
        <w:jc w:val="right"/>
        <w:bidi w:val="1"/>
      </w:pPr>
      <w:r>
        <w:rPr>
          <w:rFonts w:ascii="Vazirmatn" w:hAnsi="Vazirmatn" w:cs="Vazirmatn" w:eastAsia="Vazirmatn"/>
          <w:b w:val="0"/>
          <w:color w:val="1F2937"/>
          <w:sz w:val="20"/>
          <w:rtl w:val="1"/>
        </w:rPr>
        <w:t>• Checklist صرف تیک/ضربدر: حداکثر 59.</w:t>
      </w:r>
    </w:p>
    <w:p>
      <w:pPr>
        <w:spacing w:after="60"/>
        <w:jc w:val="right"/>
        <w:bidi w:val="1"/>
      </w:pPr>
      <w:r>
        <w:rPr>
          <w:rFonts w:ascii="Vazirmatn" w:hAnsi="Vazirmatn" w:cs="Vazirmatn" w:eastAsia="Vazirmatn"/>
          <w:b w:val="0"/>
          <w:color w:val="1F2937"/>
          <w:sz w:val="20"/>
          <w:rtl w:val="1"/>
        </w:rPr>
        <w:t>• Feature بدون Verification: حداکثر 49.</w:t>
      </w:r>
    </w:p>
    <w:p>
      <w:pPr>
        <w:spacing w:after="60"/>
        <w:jc w:val="right"/>
        <w:bidi w:val="1"/>
      </w:pPr>
      <w:r>
        <w:rPr>
          <w:rFonts w:ascii="Vazirmatn" w:hAnsi="Vazirmatn" w:cs="Vazirmatn" w:eastAsia="Vazirmatn"/>
          <w:b w:val="0"/>
          <w:color w:val="1F2937"/>
          <w:sz w:val="20"/>
          <w:rtl w:val="1"/>
        </w:rPr>
        <w:t>• Global feature را Proof of local demand ندان.</w:t>
      </w:r>
    </w:p>
    <w:p>
      <w:pPr>
        <w:spacing w:after="60"/>
        <w:jc w:val="right"/>
        <w:bidi w:val="1"/>
      </w:pPr>
      <w:r>
        <w:rPr>
          <w:rFonts w:ascii="Vazirmatn" w:hAnsi="Vazirmatn" w:cs="Vazirmatn" w:eastAsia="Vazirmatn"/>
          <w:b w:val="0"/>
          <w:color w:val="1F2937"/>
          <w:sz w:val="20"/>
          <w:rtl w:val="1"/>
        </w:rPr>
        <w:t>• Feature بدون اتصال به User Need: relevance حداکثر 69.</w:t>
      </w:r>
    </w:p>
    <w:p>
      <w:pPr>
        <w:spacing w:before="180" w:after="80"/>
        <w:jc w:val="right"/>
        <w:bidi w:val="1"/>
      </w:pPr>
      <w:r>
        <w:rPr>
          <w:rFonts w:ascii="Vazirmatn" w:hAnsi="Vazirmatn" w:cs="Vazirmatn" w:eastAsia="Vazirmatn"/>
          <w:b/>
          <w:color w:val="162037"/>
          <w:sz w:val="33"/>
          <w:rtl w:val="1"/>
        </w:rPr>
        <w:t>۱۱. Sensitivity، Robustness و VOI</w:t>
      </w:r>
    </w:p>
    <w:p>
      <w:pPr>
        <w:spacing w:before="0" w:after="100" w:line="276" w:lineRule="auto"/>
        <w:jc w:val="right"/>
        <w:bidi w:val="1"/>
      </w:pPr>
      <w:r>
        <w:rPr>
          <w:rFonts w:ascii="Vazirmatn" w:hAnsi="Vazirmatn" w:cs="Vazirmatn" w:eastAsia="Vazirmatn"/>
          <w:b w:val="0"/>
          <w:color w:val="1F2937"/>
          <w:sz w:val="20"/>
          <w:rtl w:val="1"/>
        </w:rPr>
        <w:t>Sensitivity می‌پرسد اگر یک ورودی اشتباه باشد، آیا تصمیم عوض می‌شود؟ Robustness می‌پرسد آیا نتیجه با تغییر فرض‌های معقول پابرجا می‌ماند؟ VOI مشخص می‌کند جمع‌آوری کدام داده جدید بیشترین احتمال کاهش عدم‌قطعیت تصمیم را دارد.</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بالاترین VOI فعلی</w:t>
            </w:r>
          </w:p>
          <w:p>
            <w:pPr>
              <w:spacing w:after="0" w:line="276" w:lineRule="auto"/>
              <w:jc w:val="right"/>
              <w:bidi w:val="1"/>
            </w:pPr>
            <w:r>
              <w:rPr>
                <w:rFonts w:ascii="Vazirmatn" w:hAnsi="Vazirmatn" w:cs="Vazirmatn" w:eastAsia="Vazirmatn"/>
                <w:b w:val="0"/>
                <w:color w:val="1F2937"/>
                <w:sz w:val="20"/>
                <w:rtl w:val="1"/>
              </w:rPr>
              <w:t>اجرای Benchmark task-based یکسان روی ۳ رقیب مستقیم و ۳ رهبر جهانی، با تمرکز بر «Need بدون SKU مشخص».</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۱۲. آنچه این فصل هنوز ثابت نمی‌کند</w:t>
      </w:r>
    </w:p>
    <w:p>
      <w:pPr>
        <w:spacing w:after="60"/>
        <w:jc w:val="right"/>
        <w:bidi w:val="1"/>
      </w:pPr>
      <w:r>
        <w:rPr>
          <w:rFonts w:ascii="Vazirmatn" w:hAnsi="Vazirmatn" w:cs="Vazirmatn" w:eastAsia="Vazirmatn"/>
          <w:b w:val="0"/>
          <w:color w:val="1F2937"/>
          <w:sz w:val="20"/>
          <w:rtl w:val="1"/>
        </w:rPr>
        <w:t>• وجود یا اولویت Problem/Opportunity به‌تنهایی موفقیت یک Solution را اثبات نمی‌کند.</w:t>
      </w:r>
    </w:p>
    <w:p>
      <w:pPr>
        <w:spacing w:after="60"/>
        <w:jc w:val="right"/>
        <w:bidi w:val="1"/>
      </w:pPr>
      <w:r>
        <w:rPr>
          <w:rFonts w:ascii="Vazirmatn" w:hAnsi="Vazirmatn" w:cs="Vazirmatn" w:eastAsia="Vazirmatn"/>
          <w:b w:val="0"/>
          <w:color w:val="1F2937"/>
          <w:sz w:val="20"/>
          <w:rtl w:val="1"/>
        </w:rPr>
        <w:t>• نمونه‌های Convenience اجازه تعمیم درصدها به کل جمعیت کاربران خانومی را نمی‌دهند.</w:t>
      </w:r>
    </w:p>
    <w:p>
      <w:pPr>
        <w:spacing w:after="60"/>
        <w:jc w:val="right"/>
        <w:bidi w:val="1"/>
      </w:pPr>
      <w:r>
        <w:rPr>
          <w:rFonts w:ascii="Vazirmatn" w:hAnsi="Vazirmatn" w:cs="Vazirmatn" w:eastAsia="Vazirmatn"/>
          <w:b w:val="0"/>
          <w:color w:val="1F2937"/>
          <w:sz w:val="20"/>
          <w:rtl w:val="1"/>
        </w:rPr>
        <w:t>• بدون Product Analytics درباره prevalence، drop-off یا causal impact ادعای قطعی نداریم.</w:t>
      </w:r>
    </w:p>
    <w:p>
      <w:pPr>
        <w:spacing w:before="180" w:after="80"/>
        <w:jc w:val="right"/>
        <w:bidi w:val="1"/>
      </w:pPr>
      <w:r>
        <w:rPr>
          <w:rFonts w:ascii="Vazirmatn" w:hAnsi="Vazirmatn" w:cs="Vazirmatn" w:eastAsia="Vazirmatn"/>
          <w:b/>
          <w:color w:val="162037"/>
          <w:sz w:val="33"/>
          <w:rtl w:val="1"/>
        </w:rPr>
        <w:t>۱۳. جمع‌بندی قابل ارائه</w:t>
      </w:r>
    </w:p>
    <w:p>
      <w:pPr>
        <w:spacing w:before="0" w:after="100" w:line="276" w:lineRule="auto"/>
        <w:jc w:val="right"/>
        <w:bidi w:val="1"/>
      </w:pPr>
      <w:r>
        <w:rPr>
          <w:rFonts w:ascii="Vazirmatn" w:hAnsi="Vazirmatn" w:cs="Vazirmatn" w:eastAsia="Vazirmatn"/>
          <w:b w:val="0"/>
          <w:color w:val="1F2937"/>
          <w:sz w:val="20"/>
          <w:rtl w:val="1"/>
        </w:rPr>
        <w:t>نتیجه Q6: Feature comparison از حالت جدول تیک و ضربدر خارج شد و به Capability-level analysis تبدیل شد. یعنی «چت‌بات دارد/ندارد» کافی نیست؛ باید ببینیم آیا Guidance، Personalization، Product Information، Consultation یا Loyalty واقعاً در Journey ادغام شده و برای چه Jobی کار می‌کند.</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Next Evidence Action</w:t>
            </w:r>
          </w:p>
          <w:p>
            <w:pPr>
              <w:spacing w:after="0" w:line="276" w:lineRule="auto"/>
              <w:jc w:val="right"/>
              <w:bidi w:val="1"/>
            </w:pPr>
            <w:r>
              <w:rPr>
                <w:rFonts w:ascii="Vazirmatn" w:hAnsi="Vazirmatn" w:cs="Vazirmatn" w:eastAsia="Vazirmatn"/>
                <w:b w:val="0"/>
                <w:color w:val="1F2937"/>
                <w:sz w:val="20"/>
                <w:rtl w:val="1"/>
              </w:rPr>
              <w:t>اجرای Benchmark task-based یکسان روی ۳ رقیب مستقیم و ۳ رهبر جهانی، با تمرکز بر «Need بدون SKU مشخص».</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۱۴. Source Registry</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p>
      <w:pPr>
        <w:spacing w:before="0" w:after="0" w:line="276" w:lineRule="auto"/>
        <w:jc w:val="right"/>
        <w:bidi w:val="1"/>
      </w:pPr>
      <w:r>
        <w:rPr>
          <w:rFonts w:ascii="Vazirmatn" w:hAnsi="Vazirmatn" w:cs="Vazirmatn" w:eastAsia="Vazirmatn"/>
          <w:b w:val="0"/>
          <w:color w:val="4B5563"/>
          <w:sz w:val="17"/>
          <w:rtl w:val="1"/>
        </w:rPr>
        <w:t>نسخه: شهریور ۱۴۰۵  |  روش: DECAF Quantification v1.0  |  وضعیت: سند مستقل Q6</w:t>
      </w:r>
    </w:p>
    <w:sectPr w:rsidR="00FC693F" w:rsidRPr="0006063C" w:rsidSect="00034616">
      <w:headerReference w:type="default" r:id="rId9"/>
      <w:footerReference w:type="default" r:id="rId10"/>
      <w:pgSz w:w="12240" w:h="15840"/>
      <w:pgMar w:top="822" w:right="850" w:bottom="794" w:left="85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cs="Vazirmatn" w:eastAsia="Vazirmatn"/>
        <w:b w:val="0"/>
        <w:color w:val="6B7280"/>
        <w:sz w:val="16"/>
        <w:rtl w:val="1"/>
      </w:rPr>
      <w:t>Q6  •  Competitive Capability Comparison  •  DECAF Quantification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Vazirmatn" w:hAnsi="Vazirmatn" w:cs="Vazirmatn" w:eastAsia="Vazirmatn"/>
        <w:b w:val="0"/>
        <w:color w:val="6B7280"/>
        <w:sz w:val="16"/>
        <w:rtl w:val="1"/>
      </w:rPr>
      <w:t>پروژه نهایی بوتکمپ مدیریت محصول همراه اول  |  خانومی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