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7</w:t>
      </w:r>
    </w:p>
    <w:p>
      <w:pPr>
        <w:spacing w:before="0" w:after="80" w:line="276" w:lineRule="auto"/>
        <w:jc w:val="right"/>
        <w:bidi w:val="1"/>
      </w:pPr>
      <w:r>
        <w:rPr>
          <w:rFonts w:ascii="Vazirmatn" w:hAnsi="Vazirmatn" w:cs="Vazirmatn" w:eastAsia="Vazirmatn"/>
          <w:b/>
          <w:color w:val="162037"/>
          <w:sz w:val="50"/>
          <w:rtl w:val="1"/>
        </w:rPr>
        <w:t>الگوهای رهبران جهانی</w:t>
      </w:r>
    </w:p>
    <w:p>
      <w:pPr>
        <w:spacing w:before="0" w:after="320" w:line="276" w:lineRule="auto"/>
        <w:jc w:val="right"/>
        <w:bidi w:val="1"/>
      </w:pPr>
      <w:r>
        <w:rPr>
          <w:rFonts w:ascii="Vazirmatn" w:hAnsi="Vazirmatn" w:cs="Vazirmatn" w:eastAsia="Vazirmatn"/>
          <w:b w:val="0"/>
          <w:color w:val="4B5563"/>
          <w:sz w:val="25"/>
          <w:rtl w:val="1"/>
        </w:rPr>
        <w:t>Global Leader Patterns</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رهبران جهانی را نه برای تقلید Feature، بلکه برای یافتن Patternهای تکرارشونده بررسی کردیم. الگوی اصلی این است که Beauty Commerce بالغ فقط Catalog نیست؛ لایه‌هایی از Guidance، Personalization، Content، Loyalty و Explainability را به تصمیم خرید وصل می‌کند. این Pattern می‌تواند Mechanism را پیشنهاد دهد، اما تقاضای بازار ایران را اثبات نمی‌کند.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92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91.7</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رهبران جهانی را نه برای تقلید Feature، بلکه برای یافتن Patternهای تکرارشونده بررسی کردیم. الگوی اصلی این است که Beauty Commerce بالغ فقط Catalog نیست؛ لایه‌هایی از Guidance، Personalization، Content، Loyalty و Explainability را به تصمیم خرید وصل می‌کند. این Pattern می‌تواند Mechanism را پیشنهاد دهد، اما تقاضای بازار ایران را اثبات نمی‌کند.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آیا Patternهای استخراج‌شده از رهبران جهانی واقعاً چندشرکتی، استراتژیک و قابل ترجمه به مسئله خانومی‌اند؟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Guidance + Personalization</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Pattern 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Sephora / Ulta / Nykaa</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کاهش effort تصمیم و افزایش relevance.</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Content-to-Commerce</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Pattern 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Nykaa و دیگر رهبران</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آموزش و discovery به خرید متصل می‌شود.</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Loyalty as data + retention layer</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Pattern 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Ulta / Sephora</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نه فقط تخفیف؛ هویت، داده و تکرار خرید.</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Digital tools for fit/selection</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Pattern قوی</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shade/skin tools</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کمک به suitability و confidence.</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Omnichannel expertise</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Pattern متوسط–قوی</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Sephora / Ulta</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ترکیب مشاوره انسانی و دیجیتال.</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Leader Selection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Official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Cross-company Replication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Significance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Problem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Impact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Transferability to Khanoumi</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Maturity / Execution Depth</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Source Quality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Adoption و causal impact برخی tools در سطح Feature</w:t>
      </w:r>
    </w:p>
    <w:p>
      <w:pPr>
        <w:spacing w:after="60"/>
        <w:jc w:val="right"/>
        <w:bidi w:val="1"/>
      </w:pPr>
      <w:r>
        <w:rPr>
          <w:rFonts w:ascii="Vazirmatn" w:hAnsi="Vazirmatn" w:cs="Vazirmatn" w:eastAsia="Vazirmatn"/>
          <w:b w:val="0"/>
          <w:color w:val="1F2937"/>
          <w:sz w:val="20"/>
          <w:rtl w:val="1"/>
        </w:rPr>
        <w:t>• Transferability دقیق به کاربران ایرانی</w:t>
      </w:r>
    </w:p>
    <w:p>
      <w:pPr>
        <w:spacing w:after="60"/>
        <w:jc w:val="right"/>
        <w:bidi w:val="1"/>
      </w:pPr>
      <w:r>
        <w:rPr>
          <w:rFonts w:ascii="Vazirmatn" w:hAnsi="Vazirmatn" w:cs="Vazirmatn" w:eastAsia="Vazirmatn"/>
          <w:b w:val="0"/>
          <w:color w:val="1F2937"/>
          <w:sz w:val="20"/>
          <w:rtl w:val="1"/>
        </w:rPr>
        <w:t>• هزینه و readiness داده‌ای برای اجرای مشابه</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Leader Selection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Official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Cross-company Replication</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Strategic Significance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92</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11.0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User Problem Relevance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12٪</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88</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10.6</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Business Impact Evidence</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Transferability to Khanoumi</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Maturity / Execution Depth</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6٪</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5.1</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Recency / Source Quality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4.8</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91.7 از 100</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92/100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Pattern فقط در یک شرکت: حداکثر 59.</w:t>
      </w:r>
    </w:p>
    <w:p>
      <w:pPr>
        <w:spacing w:after="60"/>
        <w:jc w:val="right"/>
        <w:bidi w:val="1"/>
      </w:pPr>
      <w:r>
        <w:rPr>
          <w:rFonts w:ascii="Vazirmatn" w:hAnsi="Vazirmatn" w:cs="Vazirmatn" w:eastAsia="Vazirmatn"/>
          <w:b w:val="0"/>
          <w:color w:val="1F2937"/>
          <w:sz w:val="20"/>
          <w:rtl w:val="1"/>
        </w:rPr>
        <w:t>• بدون Official Source: حداکثر 69.</w:t>
      </w:r>
    </w:p>
    <w:p>
      <w:pPr>
        <w:spacing w:after="60"/>
        <w:jc w:val="right"/>
        <w:bidi w:val="1"/>
      </w:pPr>
      <w:r>
        <w:rPr>
          <w:rFonts w:ascii="Vazirmatn" w:hAnsi="Vazirmatn" w:cs="Vazirmatn" w:eastAsia="Vazirmatn"/>
          <w:b w:val="0"/>
          <w:color w:val="1F2937"/>
          <w:sz w:val="20"/>
          <w:rtl w:val="1"/>
        </w:rPr>
        <w:t>• Pattern جهانی بدون User relevance خانومی: relevance حداکثر 59.</w:t>
      </w:r>
    </w:p>
    <w:p>
      <w:pPr>
        <w:spacing w:after="60"/>
        <w:jc w:val="right"/>
        <w:bidi w:val="1"/>
      </w:pPr>
      <w:r>
        <w:rPr>
          <w:rFonts w:ascii="Vazirmatn" w:hAnsi="Vazirmatn" w:cs="Vazirmatn" w:eastAsia="Vazirmatn"/>
          <w:b w:val="0"/>
          <w:color w:val="1F2937"/>
          <w:sz w:val="20"/>
          <w:rtl w:val="1"/>
        </w:rPr>
        <w:t>• Benchmark جهانی اثبات Demand ایران نیست.</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برای هر Pattern جهانی یک «Mechanism → Local Hypothesis» بسازیم و فقط آن‌هایی را وارد Feature ideation کنیم که Problem داخلی مستقل دارند.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وجود یا اولویت Problem/Opportunity به‌تنهایی موفقیت یک Solution را اثبات نمی‌کند.</w:t>
      </w:r>
    </w:p>
    <w:p>
      <w:pPr>
        <w:spacing w:after="60"/>
        <w:jc w:val="right"/>
        <w:bidi w:val="1"/>
      </w:pPr>
      <w:r>
        <w:rPr>
          <w:rFonts w:ascii="Vazirmatn" w:hAnsi="Vazirmatn" w:cs="Vazirmatn" w:eastAsia="Vazirmatn"/>
          <w:b w:val="0"/>
          <w:color w:val="1F2937"/>
          <w:sz w:val="20"/>
          <w:rtl w:val="1"/>
        </w:rPr>
        <w:t>• نمونه‌های Convenience اجازه تعمیم درصدها به کل جمعیت کاربران خانومی را نمی‌دهند.</w:t>
      </w:r>
    </w:p>
    <w:p>
      <w:pPr>
        <w:spacing w:after="60"/>
        <w:jc w:val="right"/>
        <w:bidi w:val="1"/>
      </w:pPr>
      <w:r>
        <w:rPr>
          <w:rFonts w:ascii="Vazirmatn" w:hAnsi="Vazirmatn" w:cs="Vazirmatn" w:eastAsia="Vazirmatn"/>
          <w:b w:val="0"/>
          <w:color w:val="1F2937"/>
          <w:sz w:val="20"/>
          <w:rtl w:val="1"/>
        </w:rPr>
        <w:t>• بدون Product Analytics درباره prevalence، drop-off یا causal impact ادعای قطعی نداریم.</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Q7: رهبران جهانی را نه برای تقلید Feature، بلکه برای یافتن Patternهای تکرارشونده بررسی کردیم. الگوی اصلی این است که Beauty Commerce بالغ فقط Catalog نیست؛ لایه‌هایی از Guidance، Personalization، Content، Loyalty و Explainability را به تصمیم خرید وصل می‌کند. این Pattern می‌تواند Mechanism را پیشنهاد دهد، اما تقاضای بازار ایران را اثبات نمی‌کند.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برای هر Pattern جهانی یک «Mechanism → Local Hypothesis» بسازیم و فقط آن‌هایی را وارد Feature ideation کنیم که Problem داخلی مستقل دارند.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Q7</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Q7  •  Global Leader Patterns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