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line="276" w:lineRule="auto"/>
        <w:jc w:val="right"/>
        <w:bidi w:val="1"/>
      </w:pPr>
      <w:r>
        <w:rPr>
          <w:rFonts w:ascii="Vazirmatn" w:hAnsi="Vazirmatn" w:cs="Vazirmatn" w:eastAsia="Vazirmatn"/>
          <w:b/>
          <w:color w:val="C52465"/>
          <w:sz w:val="36"/>
          <w:rtl w:val="1"/>
        </w:rPr>
        <w:t>سؤال 8</w:t>
      </w:r>
    </w:p>
    <w:p>
      <w:pPr>
        <w:spacing w:before="0" w:after="80" w:line="276" w:lineRule="auto"/>
        <w:jc w:val="right"/>
        <w:bidi w:val="1"/>
      </w:pPr>
      <w:r>
        <w:rPr>
          <w:rFonts w:ascii="Vazirmatn" w:hAnsi="Vazirmatn" w:cs="Vazirmatn" w:eastAsia="Vazirmatn"/>
          <w:b/>
          <w:color w:val="162037"/>
          <w:sz w:val="50"/>
          <w:rtl w:val="1"/>
        </w:rPr>
        <w:t>روندهای جهانی مرتبط</w:t>
      </w:r>
    </w:p>
    <w:p>
      <w:pPr>
        <w:spacing w:before="0" w:after="320" w:line="276" w:lineRule="auto"/>
        <w:jc w:val="right"/>
        <w:bidi w:val="1"/>
      </w:pPr>
      <w:r>
        <w:rPr>
          <w:rFonts w:ascii="Vazirmatn" w:hAnsi="Vazirmatn" w:cs="Vazirmatn" w:eastAsia="Vazirmatn"/>
          <w:b w:val="0"/>
          <w:color w:val="4B5563"/>
          <w:sz w:val="25"/>
          <w:rtl w:val="1"/>
        </w:rPr>
        <w:t>Global Trends</w:t>
      </w:r>
    </w:p>
    <w:tbl>
      <w:tblPr>
        <w:tblW w:type="auto" w:w="0"/>
        <w:jc w:val="center"/>
        <w:tblLook w:firstColumn="1" w:firstRow="1" w:lastColumn="0" w:lastRow="0" w:noHBand="0" w:noVBand="1" w:val="04A0"/>
      </w:tblPr>
      <w:tblGrid>
        <w:gridCol w:w="10540"/>
      </w:tblGrid>
      <w:tr>
        <w:tc>
          <w:tcPr>
            <w:tcW w:type="dxa" w:w="10540"/>
            <w:shd w:fill="FDF2F8"/>
            <w:tcMar>
              <w:top w:w="170" w:type="dxa"/>
              <w:start w:w="210" w:type="dxa"/>
              <w:bottom w:w="170" w:type="dxa"/>
              <w:end w:w="210" w:type="dxa"/>
            </w:tcMar>
          </w:tcPr>
          <w:p>
            <w:pPr>
              <w:spacing w:after="60"/>
              <w:jc w:val="right"/>
              <w:bidi w:val="1"/>
            </w:pPr>
            <w:r>
              <w:rPr>
                <w:rFonts w:ascii="Vazirmatn" w:hAnsi="Vazirmatn" w:cs="Vazirmatn" w:eastAsia="Vazirmatn"/>
                <w:b/>
                <w:color w:val="9D174D"/>
                <w:sz w:val="22"/>
                <w:rtl w:val="1"/>
              </w:rPr>
              <w:t>خلاصه فصل</w:t>
            </w:r>
          </w:p>
          <w:p>
            <w:pPr>
              <w:spacing w:after="0" w:line="276" w:lineRule="auto"/>
              <w:jc w:val="right"/>
              <w:bidi w:val="1"/>
            </w:pPr>
            <w:r>
              <w:rPr>
                <w:rFonts w:ascii="Vazirmatn" w:hAnsi="Vazirmatn" w:cs="Vazirmatn" w:eastAsia="Vazirmatn"/>
                <w:b w:val="0"/>
                <w:color w:val="1F2937"/>
                <w:sz w:val="20"/>
                <w:rtl w:val="1"/>
              </w:rPr>
              <w:t>Trend را از Innovation Signal جدا کردیم. Trend باید چندساله، چندشرکتی یا چندبازاری و همراه با تغییر رفتار یا economics باشد. نتیجه این تحلیل، تقویت جهت‌هایی مثل Guided Commerce، Personalization، AI-assisted shopping و Content-Commerce است؛ اما AI به‌تنهایی Feature یا اثبات ارزش نیست.</w:t>
            </w:r>
          </w:p>
        </w:tc>
      </w:tr>
    </w:tbl>
    <w:p>
      <w:pPr>
        <w:spacing w:before="0" w:after="20" w:line="276" w:lineRule="auto"/>
        <w:jc w:val="right"/>
        <w:bidi w:val="1"/>
      </w:pPr>
      <w:r>
        <w:rPr>
          <w:rFonts w:ascii="Vazirmatn" w:hAnsi="Vazirmatn" w:cs="Vazirmatn" w:eastAsia="Vazirmatn"/>
          <w:b w:val="0"/>
          <w:color w:val="1F2937"/>
          <w:sz w:val="20"/>
          <w:rtl w:val="1"/>
        </w:rP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Confidence نهایی</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امتیاز خام</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روش</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88 / 100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A — قابل پذیرش و دفاع</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88.1</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DECAF Quantification v1.0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60" w:line="276" w:lineRule="auto"/>
        <w:jc w:val="right"/>
        <w:bidi w:val="1"/>
      </w:pPr>
      <w:r>
        <w:rPr>
          <w:rFonts w:ascii="Vazirmatn" w:hAnsi="Vazirmatn" w:cs="Vazirmatn" w:eastAsia="Vazirmatn"/>
          <w:b w:val="0"/>
          <w:color w:val="4B5563"/>
          <w:sz w:val="18"/>
          <w:rtl w:val="1"/>
        </w:rPr>
        <w:t>این نمره احتمال آماری موفقیت نیست؛ یک Decision Confidence Score ترتیبی است که کیفیت Evidence، پوشش داده لازم، Triangulation، فرض‌ها و حساسیت به Missing Data را خلاصه می‌کند.</w:t>
      </w:r>
    </w:p>
    <w:p>
      <w:pPr>
        <w:spacing w:before="180" w:after="80"/>
        <w:jc w:val="right"/>
        <w:bidi w:val="1"/>
      </w:pPr>
      <w:r>
        <w:rPr>
          <w:rFonts w:ascii="Vazirmatn" w:hAnsi="Vazirmatn" w:cs="Vazirmatn" w:eastAsia="Vazirmatn"/>
          <w:b/>
          <w:color w:val="162037"/>
          <w:sz w:val="33"/>
          <w:rtl w:val="1"/>
        </w:rPr>
        <w:t>۱. روایت فصل — چه اتفاقی افتاد؟</w:t>
      </w:r>
    </w:p>
    <w:p>
      <w:pPr>
        <w:spacing w:before="0" w:after="100" w:line="276" w:lineRule="auto"/>
        <w:jc w:val="right"/>
        <w:bidi w:val="1"/>
      </w:pPr>
      <w:r>
        <w:rPr>
          <w:rFonts w:ascii="Vazirmatn" w:hAnsi="Vazirmatn" w:cs="Vazirmatn" w:eastAsia="Vazirmatn"/>
          <w:b w:val="0"/>
          <w:color w:val="1F2937"/>
          <w:sz w:val="20"/>
          <w:rtl w:val="1"/>
        </w:rPr>
        <w:t>Trend را از Innovation Signal جدا کردیم. Trend باید چندساله، چندشرکتی یا چندبازاری و همراه با تغییر رفتار یا economics باشد. نتیجه این تحلیل، تقویت جهت‌هایی مثل Guided Commerce، Personalization، AI-assisted shopping و Content-Commerce است؛ اما AI به‌تنهایی Feature یا اثبات ارزش نیست.</w:t>
      </w:r>
    </w:p>
    <w:p>
      <w:pPr>
        <w:spacing w:before="180" w:after="80"/>
        <w:jc w:val="right"/>
        <w:bidi w:val="1"/>
      </w:pPr>
      <w:r>
        <w:rPr>
          <w:rFonts w:ascii="Vazirmatn" w:hAnsi="Vazirmatn" w:cs="Vazirmatn" w:eastAsia="Vazirmatn"/>
          <w:b/>
          <w:color w:val="162037"/>
          <w:sz w:val="33"/>
          <w:rtl w:val="1"/>
        </w:rPr>
        <w:t>۲. سؤال تصمیمی</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Decision Question</w:t>
            </w:r>
          </w:p>
          <w:p>
            <w:pPr>
              <w:spacing w:after="0" w:line="276" w:lineRule="auto"/>
              <w:jc w:val="right"/>
              <w:bidi w:val="1"/>
            </w:pPr>
            <w:r>
              <w:rPr>
                <w:rFonts w:ascii="Vazirmatn" w:hAnsi="Vazirmatn" w:cs="Vazirmatn" w:eastAsia="Vazirmatn"/>
                <w:b w:val="0"/>
                <w:color w:val="1F2937"/>
                <w:sz w:val="20"/>
                <w:rtl w:val="1"/>
              </w:rPr>
              <w:t>آیا Trendهای معرفی‌شده پایدار و چندمنبعی‌اند و برای Beauty Commerce و خانومی relevance واقعی دارند؟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۳. نتیجه پروژه در این مرحله</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موضوع</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w:t>
            </w:r>
          </w:p>
        </w:tc>
        <w:tc>
          <w:tcPr>
            <w:tcW w:type="dxa" w:w="249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 جایگاه</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تفسیر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Guided / Assisted Commerce</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قوی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چندشرکتی و متصل به decision support</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برای Opportunity خانومی مرتبط.</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Personalization</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قوی و mature</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لایه‌ای از discovery، recommendation و loyalty</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نیازمند data readiness.</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AI-assisted Shopping</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در حال Scaling</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Mechanism جدید برای guidance</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Technology ≠ Feature؛ نیازمند safety و validation.</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Content-Commerce Convergence</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قوی</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آموزش، creator و خرید به هم نزدیک می‌شوند</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برای beauty relevance بالا.</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Omnichannel / Human + Digital</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قوی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consultation و physical/digital integration</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Transferability ایران باید جداگانه سنجیده شود.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۴. Evidence Base و مرز استنتاج</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مرز مهم</w:t>
            </w:r>
          </w:p>
          <w:p>
            <w:pPr>
              <w:spacing w:after="0" w:line="276" w:lineRule="auto"/>
              <w:jc w:val="right"/>
              <w:bidi w:val="1"/>
            </w:pPr>
            <w:r>
              <w:rPr>
                <w:rFonts w:ascii="Vazirmatn" w:hAnsi="Vazirmatn" w:cs="Vazirmatn" w:eastAsia="Vazirmatn"/>
                <w:b w:val="0"/>
                <w:color w:val="1F2937"/>
                <w:sz w:val="20"/>
                <w:rtl w:val="1"/>
              </w:rPr>
              <w:t>هرجا داده مستقیم نداریم، نتیجه با برچسب «استنتاج» یا «فرضیه» بیان می‌شود. مشتقات یک Dataset به‌عنوان منابع مستقل در Triangulation شمرده نمی‌شوند.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۵. داده‌های لازم و وضعیت دسترسی</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ورودی لازم</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 اهمیت</w:t>
            </w:r>
          </w:p>
        </w:tc>
        <w:tc>
          <w:tcPr>
            <w:tcW w:type="dxa" w:w="243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 فعلی</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Score</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Multi-year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Cross-market Replication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Cross-company Replication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Consumer Behavior Evidence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Relevance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Technology Maturity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82/100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Beauty Relevance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Transferability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اما ناقص</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Source Quality / Recency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۶. Missing Data: چه چیزی را می‌توانیم و نمی‌توانیم حل کنیم؟</w:t>
      </w:r>
    </w:p>
    <w:p>
      <w:pPr>
        <w:spacing w:after="60"/>
        <w:jc w:val="right"/>
        <w:bidi w:val="1"/>
      </w:pPr>
      <w:r>
        <w:rPr>
          <w:rFonts w:ascii="Vazirmatn" w:hAnsi="Vazirmatn" w:cs="Vazirmatn" w:eastAsia="Vazirmatn"/>
          <w:b w:val="0"/>
          <w:color w:val="1F2937"/>
          <w:sz w:val="20"/>
          <w:rtl w:val="1"/>
        </w:rPr>
        <w:t>• داده روند محلی ایران در assisted commerce</w:t>
      </w:r>
    </w:p>
    <w:p>
      <w:pPr>
        <w:spacing w:after="60"/>
        <w:jc w:val="right"/>
        <w:bidi w:val="1"/>
      </w:pPr>
      <w:r>
        <w:rPr>
          <w:rFonts w:ascii="Vazirmatn" w:hAnsi="Vazirmatn" w:cs="Vazirmatn" w:eastAsia="Vazirmatn"/>
          <w:b w:val="0"/>
          <w:color w:val="1F2937"/>
          <w:sz w:val="20"/>
          <w:rtl w:val="1"/>
        </w:rPr>
        <w:t>• میزان پذیرش AI/consultation در کاربران خانومی</w:t>
      </w:r>
    </w:p>
    <w:p>
      <w:pPr>
        <w:spacing w:after="60"/>
        <w:jc w:val="right"/>
        <w:bidi w:val="1"/>
      </w:pPr>
      <w:r>
        <w:rPr>
          <w:rFonts w:ascii="Vazirmatn" w:hAnsi="Vazirmatn" w:cs="Vazirmatn" w:eastAsia="Vazirmatn"/>
          <w:b w:val="0"/>
          <w:color w:val="1F2937"/>
          <w:sz w:val="20"/>
          <w:rtl w:val="1"/>
        </w:rPr>
        <w:t>• زیرساخت داده و regulation برای برخی trendها</w:t>
      </w:r>
    </w:p>
    <w:p>
      <w:pPr>
        <w:spacing w:before="0" w:after="100" w:line="276" w:lineRule="auto"/>
        <w:jc w:val="right"/>
        <w:bidi w:val="1"/>
      </w:pPr>
      <w:r>
        <w:rPr>
          <w:rFonts w:ascii="Vazirmatn" w:hAnsi="Vazirmatn" w:cs="Vazirmatn" w:eastAsia="Vazirmatn"/>
          <w:b/>
          <w:color w:val="C52465"/>
          <w:sz w:val="20"/>
          <w:rtl w:val="1"/>
        </w:rPr>
        <w:t>طبقه‌بندی:</w:t>
      </w:r>
    </w:p>
    <w:p>
      <w:pPr>
        <w:spacing w:after="60"/>
        <w:jc w:val="right"/>
        <w:bidi w:val="1"/>
      </w:pPr>
      <w:r>
        <w:rPr>
          <w:rFonts w:ascii="Vazirmatn" w:hAnsi="Vazirmatn" w:cs="Vazirmatn" w:eastAsia="Vazirmatn"/>
          <w:b w:val="0"/>
          <w:color w:val="1F2937"/>
          <w:sz w:val="20"/>
          <w:rtl w:val="1"/>
        </w:rPr>
        <w:t>• قابل برآورد: فقط وقتی range یا proxy معتبر داریم و نتیجه نسبت به آن Robust باشد.</w:t>
      </w:r>
    </w:p>
    <w:p>
      <w:pPr>
        <w:spacing w:after="60"/>
        <w:jc w:val="right"/>
        <w:bidi w:val="1"/>
      </w:pPr>
      <w:r>
        <w:rPr>
          <w:rFonts w:ascii="Vazirmatn" w:hAnsi="Vazirmatn" w:cs="Vazirmatn" w:eastAsia="Vazirmatn"/>
          <w:b w:val="0"/>
          <w:color w:val="1F2937"/>
          <w:sz w:val="20"/>
          <w:rtl w:val="1"/>
        </w:rPr>
        <w:t>• قابل اغماض: داده‌ای که نبودنش تصمیم این فصل را تغییر نمی‌دهد.</w:t>
      </w:r>
    </w:p>
    <w:p>
      <w:pPr>
        <w:spacing w:after="60"/>
        <w:jc w:val="right"/>
        <w:bidi w:val="1"/>
      </w:pPr>
      <w:r>
        <w:rPr>
          <w:rFonts w:ascii="Vazirmatn" w:hAnsi="Vazirmatn" w:cs="Vazirmatn" w:eastAsia="Vazirmatn"/>
          <w:b w:val="0"/>
          <w:color w:val="1F2937"/>
          <w:sz w:val="20"/>
          <w:rtl w:val="1"/>
        </w:rPr>
        <w:t>• Critical Unknown: داده‌ای که می‌تواند Ranking، Feature Selection یا توصیه Build/Test را عوض کند؛ برای آن عددسازی نمی‌کنیم.</w:t>
      </w:r>
    </w:p>
    <w:p>
      <w:pPr>
        <w:spacing w:before="180" w:after="80"/>
        <w:jc w:val="right"/>
        <w:bidi w:val="1"/>
      </w:pPr>
      <w:r>
        <w:rPr>
          <w:rFonts w:ascii="Vazirmatn" w:hAnsi="Vazirmatn" w:cs="Vazirmatn" w:eastAsia="Vazirmatn"/>
          <w:b/>
          <w:color w:val="162037"/>
          <w:sz w:val="33"/>
          <w:rtl w:val="1"/>
        </w:rPr>
        <w:t>۷. مدل کوانتیفیکیشن اختصاصی فصل</w:t>
      </w:r>
    </w:p>
    <w:p>
      <w:pPr>
        <w:spacing w:before="0" w:after="100" w:line="276" w:lineRule="auto"/>
        <w:jc w:val="right"/>
        <w:bidi w:val="1"/>
      </w:pPr>
      <w:r>
        <w:rPr>
          <w:rFonts w:ascii="Vazirmatn" w:hAnsi="Vazirmatn" w:cs="Vazirmatn" w:eastAsia="Vazirmatn"/>
          <w:b w:val="0"/>
          <w:color w:val="1F2937"/>
          <w:sz w:val="20"/>
          <w:rtl w:val="1"/>
        </w:rPr>
        <w:t>وزن معیارها بین فصل‌ها متفاوت است چون سؤال تصمیمی متفاوت است؛ اما قواعد پایه DECAF، تعریف Confidence، Triangulation، Cap Rule و Double-counting Control ثابت می‌مانند.</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معیار</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w:t>
            </w:r>
          </w:p>
        </w:tc>
        <w:tc>
          <w:tcPr>
            <w:tcW w:type="dxa" w:w="141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نمره ۰–۱۰۰</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سهم وزنی</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Multi-year Evidence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12.8</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Cross-market Replication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13.5</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Cross-company Replication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11.0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Consumer Behavior Evidence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13.2</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Relevance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10.8</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Technology Maturity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82</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6.6</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Beauty Relevance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7.6</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Transferability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6.0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Source Quality / Recency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6.7</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00" w:line="276" w:lineRule="auto"/>
        <w:jc w:val="right"/>
        <w:bidi w:val="1"/>
      </w:pPr>
      <w:r>
        <w:rPr>
          <w:rFonts w:ascii="Vazirmatn" w:hAnsi="Vazirmatn" w:cs="Vazirmatn" w:eastAsia="Vazirmatn"/>
          <w:b/>
          <w:color w:val="162037"/>
          <w:sz w:val="22"/>
          <w:rtl w:val="1"/>
        </w:rPr>
        <w:t>امتیاز خام = 88.1 از 100</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Confidence نهایی</w:t>
            </w:r>
          </w:p>
          <w:p>
            <w:pPr>
              <w:spacing w:after="0" w:line="276" w:lineRule="auto"/>
              <w:jc w:val="right"/>
              <w:bidi w:val="1"/>
            </w:pPr>
            <w:r>
              <w:rPr>
                <w:rFonts w:ascii="Vazirmatn" w:hAnsi="Vazirmatn" w:cs="Vazirmatn" w:eastAsia="Vazirmatn"/>
                <w:b w:val="0"/>
                <w:color w:val="1F2937"/>
                <w:sz w:val="20"/>
                <w:rtl w:val="1"/>
              </w:rPr>
              <w:t>88/100 — A — قابل پذیرش و دفاع</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۸. Rubric ثابت Evidence Quality</w:t>
      </w:r>
    </w:p>
    <w:tbl>
      <w:tblPr>
        <w:tblStyle w:val="TableGrid"/>
        <w:tblW w:type="auto" w:w="0"/>
        <w:jc w:val="center"/>
        <w:tblLook w:firstColumn="1" w:firstRow="1" w:lastColumn="0" w:lastRow="0" w:noHBand="0" w:noVBand="1" w:val="04A0"/>
      </w:tblPr>
      <w:tblGrid>
        <w:gridCol w:w="5270"/>
        <w:gridCol w:w="5270"/>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بازه</w:t>
            </w:r>
          </w:p>
        </w:tc>
        <w:tc>
          <w:tcPr>
            <w:tcW w:type="dxa" w:w="7087"/>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تفسیر</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90–100</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داده مستقیم/رسمی تازه یا رفتار مشاهده‌شده معتبر؛ محدودیت‌ها روشن.</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75–89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Evidence قوی ولی با یک یا چند gap غیرکشنده.</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50–74</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Proxy معتبر، نمونه محدود یا Evidence تک‌روشی؛ قابل استفاده با Caveat.</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30–49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استنتاج کارشناسی یا داده ضعیف؛ Hypothesis.</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0–29</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بدون پشتوانه کافی؛ فاقد ارزش برای تصمیم قطعی.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۹. Evidence Triangulation و Double Counting</w:t>
      </w:r>
    </w:p>
    <w:p>
      <w:pPr>
        <w:spacing w:before="0" w:after="100" w:line="276" w:lineRule="auto"/>
        <w:jc w:val="right"/>
        <w:bidi w:val="1"/>
      </w:pPr>
      <w:r>
        <w:rPr>
          <w:rFonts w:ascii="Vazirmatn" w:hAnsi="Vazirmatn" w:cs="Vazirmatn" w:eastAsia="Vazirmatn"/>
          <w:b w:val="0"/>
          <w:color w:val="1F2937"/>
          <w:sz w:val="20"/>
          <w:rtl w:val="1"/>
        </w:rPr>
        <w:t>Triangulation یعنی رسیدن خانواده‌های مستقل Evidence به یک نتیجه مشابه. استقلال مهم‌تر از تعداد فایل‌هاست. Survey، Interview و VOC می‌توانند سه خانواده مستقل باشند؛ اما Chart، Persona و Summary ساخته‌شده از همان Survey سه منبع مستقل نیستند.</w:t>
      </w:r>
    </w:p>
    <w:p>
      <w:pPr>
        <w:spacing w:after="60"/>
        <w:jc w:val="right"/>
        <w:bidi w:val="1"/>
      </w:pPr>
      <w:r>
        <w:rPr>
          <w:rFonts w:ascii="Vazirmatn" w:hAnsi="Vazirmatn" w:cs="Vazirmatn" w:eastAsia="Vazirmatn"/>
          <w:b w:val="0"/>
          <w:color w:val="1F2937"/>
          <w:sz w:val="20"/>
          <w:rtl w:val="1"/>
        </w:rPr>
        <w:t>• Data Triangulation: چند منبع/نمونه مستقل.</w:t>
      </w:r>
    </w:p>
    <w:p>
      <w:pPr>
        <w:spacing w:after="60"/>
        <w:jc w:val="right"/>
        <w:bidi w:val="1"/>
      </w:pPr>
      <w:r>
        <w:rPr>
          <w:rFonts w:ascii="Vazirmatn" w:hAnsi="Vazirmatn" w:cs="Vazirmatn" w:eastAsia="Vazirmatn"/>
          <w:b w:val="0"/>
          <w:color w:val="1F2937"/>
          <w:sz w:val="20"/>
          <w:rtl w:val="1"/>
        </w:rPr>
        <w:t>• Method Triangulation: ترکیب Survey، Interview، Observation/Behavior و تحلیل اسنادی.</w:t>
      </w:r>
    </w:p>
    <w:p>
      <w:pPr>
        <w:spacing w:after="60"/>
        <w:jc w:val="right"/>
        <w:bidi w:val="1"/>
      </w:pPr>
      <w:r>
        <w:rPr>
          <w:rFonts w:ascii="Vazirmatn" w:hAnsi="Vazirmatn" w:cs="Vazirmatn" w:eastAsia="Vazirmatn"/>
          <w:b w:val="0"/>
          <w:color w:val="1F2937"/>
          <w:sz w:val="20"/>
          <w:rtl w:val="1"/>
        </w:rPr>
        <w:t>• یک Evidence Family فقط یک‌بار در شمارش استقلال لحاظ می‌شود.</w:t>
      </w:r>
    </w:p>
    <w:p>
      <w:pPr>
        <w:spacing w:before="180" w:after="80"/>
        <w:jc w:val="right"/>
        <w:bidi w:val="1"/>
      </w:pPr>
      <w:r>
        <w:rPr>
          <w:rFonts w:ascii="Vazirmatn" w:hAnsi="Vazirmatn" w:cs="Vazirmatn" w:eastAsia="Vazirmatn"/>
          <w:b/>
          <w:color w:val="162037"/>
          <w:sz w:val="33"/>
          <w:rtl w:val="1"/>
        </w:rPr>
        <w:t>۱۰. Cap Rules ویژه این فصل</w:t>
      </w:r>
    </w:p>
    <w:p>
      <w:pPr>
        <w:spacing w:after="60"/>
        <w:jc w:val="right"/>
        <w:bidi w:val="1"/>
      </w:pPr>
      <w:r>
        <w:rPr>
          <w:rFonts w:ascii="Vazirmatn" w:hAnsi="Vazirmatn" w:cs="Vazirmatn" w:eastAsia="Vazirmatn"/>
          <w:b w:val="0"/>
          <w:color w:val="1F2937"/>
          <w:sz w:val="20"/>
          <w:rtl w:val="1"/>
        </w:rPr>
        <w:t>• فقط یک شرکت: حداکثر 49.</w:t>
      </w:r>
    </w:p>
    <w:p>
      <w:pPr>
        <w:spacing w:after="60"/>
        <w:jc w:val="right"/>
        <w:bidi w:val="1"/>
      </w:pPr>
      <w:r>
        <w:rPr>
          <w:rFonts w:ascii="Vazirmatn" w:hAnsi="Vazirmatn" w:cs="Vazirmatn" w:eastAsia="Vazirmatn"/>
          <w:b w:val="0"/>
          <w:color w:val="1F2937"/>
          <w:sz w:val="20"/>
          <w:rtl w:val="1"/>
        </w:rPr>
        <w:t>• بدون Consumer Behavior Evidence: حداکثر 69.</w:t>
      </w:r>
    </w:p>
    <w:p>
      <w:pPr>
        <w:spacing w:after="60"/>
        <w:jc w:val="right"/>
        <w:bidi w:val="1"/>
      </w:pPr>
      <w:r>
        <w:rPr>
          <w:rFonts w:ascii="Vazirmatn" w:hAnsi="Vazirmatn" w:cs="Vazirmatn" w:eastAsia="Vazirmatn"/>
          <w:b w:val="0"/>
          <w:color w:val="1F2937"/>
          <w:sz w:val="20"/>
          <w:rtl w:val="1"/>
        </w:rPr>
        <w:t>• Tech hype بدون business/user evidence: حداکثر 59.</w:t>
      </w:r>
    </w:p>
    <w:p>
      <w:pPr>
        <w:spacing w:after="60"/>
        <w:jc w:val="right"/>
        <w:bidi w:val="1"/>
      </w:pPr>
      <w:r>
        <w:rPr>
          <w:rFonts w:ascii="Vazirmatn" w:hAnsi="Vazirmatn" w:cs="Vazirmatn" w:eastAsia="Vazirmatn"/>
          <w:b w:val="0"/>
          <w:color w:val="1F2937"/>
          <w:sz w:val="20"/>
          <w:rtl w:val="1"/>
        </w:rPr>
        <w:t>• Trend جهانی بدون local transferability باید Caveat داشته باشد.</w:t>
      </w:r>
    </w:p>
    <w:p>
      <w:pPr>
        <w:spacing w:before="180" w:after="80"/>
        <w:jc w:val="right"/>
        <w:bidi w:val="1"/>
      </w:pPr>
      <w:r>
        <w:rPr>
          <w:rFonts w:ascii="Vazirmatn" w:hAnsi="Vazirmatn" w:cs="Vazirmatn" w:eastAsia="Vazirmatn"/>
          <w:b/>
          <w:color w:val="162037"/>
          <w:sz w:val="33"/>
          <w:rtl w:val="1"/>
        </w:rPr>
        <w:t>۱۱. Sensitivity، Robustness و VOI</w:t>
      </w:r>
    </w:p>
    <w:p>
      <w:pPr>
        <w:spacing w:before="0" w:after="100" w:line="276" w:lineRule="auto"/>
        <w:jc w:val="right"/>
        <w:bidi w:val="1"/>
      </w:pPr>
      <w:r>
        <w:rPr>
          <w:rFonts w:ascii="Vazirmatn" w:hAnsi="Vazirmatn" w:cs="Vazirmatn" w:eastAsia="Vazirmatn"/>
          <w:b w:val="0"/>
          <w:color w:val="1F2937"/>
          <w:sz w:val="20"/>
          <w:rtl w:val="1"/>
        </w:rPr>
        <w:t>Sensitivity می‌پرسد اگر یک ورودی اشتباه باشد، آیا تصمیم عوض می‌شود؟ Robustness می‌پرسد آیا نتیجه با تغییر فرض‌های معقول پابرجا می‌ماند؟ VOI مشخص می‌کند جمع‌آوری کدام داده جدید بیشترین احتمال کاهش عدم‌قطعیت تصمیم را دارد.</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بالاترین VOI فعلی</w:t>
            </w:r>
          </w:p>
          <w:p>
            <w:pPr>
              <w:spacing w:after="0" w:line="276" w:lineRule="auto"/>
              <w:jc w:val="right"/>
              <w:bidi w:val="1"/>
            </w:pPr>
            <w:r>
              <w:rPr>
                <w:rFonts w:ascii="Vazirmatn" w:hAnsi="Vazirmatn" w:cs="Vazirmatn" w:eastAsia="Vazirmatn"/>
                <w:b w:val="0"/>
                <w:color w:val="1F2937"/>
                <w:sz w:val="20"/>
                <w:rtl w:val="1"/>
              </w:rPr>
              <w:t>Trendها را به Opportunity تبدیل نکنیم مگر اینکه Evidence داخلی مستقل وجود داشته باشد؛ برای موارد top، local demand test طراحی شود.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۱۲. آنچه این فصل هنوز ثابت نمی‌کند</w:t>
      </w:r>
    </w:p>
    <w:p>
      <w:pPr>
        <w:spacing w:after="60"/>
        <w:jc w:val="right"/>
        <w:bidi w:val="1"/>
      </w:pPr>
      <w:r>
        <w:rPr>
          <w:rFonts w:ascii="Vazirmatn" w:hAnsi="Vazirmatn" w:cs="Vazirmatn" w:eastAsia="Vazirmatn"/>
          <w:b w:val="0"/>
          <w:color w:val="1F2937"/>
          <w:sz w:val="20"/>
          <w:rtl w:val="1"/>
        </w:rPr>
        <w:t>• وجود یا اولویت Problem/Opportunity به‌تنهایی موفقیت یک Solution را اثبات نمی‌کند.</w:t>
      </w:r>
    </w:p>
    <w:p>
      <w:pPr>
        <w:spacing w:after="60"/>
        <w:jc w:val="right"/>
        <w:bidi w:val="1"/>
      </w:pPr>
      <w:r>
        <w:rPr>
          <w:rFonts w:ascii="Vazirmatn" w:hAnsi="Vazirmatn" w:cs="Vazirmatn" w:eastAsia="Vazirmatn"/>
          <w:b w:val="0"/>
          <w:color w:val="1F2937"/>
          <w:sz w:val="20"/>
          <w:rtl w:val="1"/>
        </w:rPr>
        <w:t>• نمونه‌های Convenience اجازه تعمیم درصدها به کل جمعیت کاربران خانومی را نمی‌دهند.</w:t>
      </w:r>
    </w:p>
    <w:p>
      <w:pPr>
        <w:spacing w:after="60"/>
        <w:jc w:val="right"/>
        <w:bidi w:val="1"/>
      </w:pPr>
      <w:r>
        <w:rPr>
          <w:rFonts w:ascii="Vazirmatn" w:hAnsi="Vazirmatn" w:cs="Vazirmatn" w:eastAsia="Vazirmatn"/>
          <w:b w:val="0"/>
          <w:color w:val="1F2937"/>
          <w:sz w:val="20"/>
          <w:rtl w:val="1"/>
        </w:rPr>
        <w:t>• بدون Product Analytics درباره prevalence، drop-off یا causal impact ادعای قطعی نداریم.</w:t>
      </w:r>
    </w:p>
    <w:p>
      <w:pPr>
        <w:spacing w:before="180" w:after="80"/>
        <w:jc w:val="right"/>
        <w:bidi w:val="1"/>
      </w:pPr>
      <w:r>
        <w:rPr>
          <w:rFonts w:ascii="Vazirmatn" w:hAnsi="Vazirmatn" w:cs="Vazirmatn" w:eastAsia="Vazirmatn"/>
          <w:b/>
          <w:color w:val="162037"/>
          <w:sz w:val="33"/>
          <w:rtl w:val="1"/>
        </w:rPr>
        <w:t>۱۳. جمع‌بندی قابل ارائه</w:t>
      </w:r>
    </w:p>
    <w:p>
      <w:pPr>
        <w:spacing w:before="0" w:after="100" w:line="276" w:lineRule="auto"/>
        <w:jc w:val="right"/>
        <w:bidi w:val="1"/>
      </w:pPr>
      <w:r>
        <w:rPr>
          <w:rFonts w:ascii="Vazirmatn" w:hAnsi="Vazirmatn" w:cs="Vazirmatn" w:eastAsia="Vazirmatn"/>
          <w:b w:val="0"/>
          <w:color w:val="1F2937"/>
          <w:sz w:val="20"/>
          <w:rtl w:val="1"/>
        </w:rPr>
        <w:t>نتیجه Q8: Trend را از Innovation Signal جدا کردیم. Trend باید چندساله، چندشرکتی یا چندبازاری و همراه با تغییر رفتار یا economics باشد. نتیجه این تحلیل، تقویت جهت‌هایی مثل Guided Commerce، Personalization، AI-assisted shopping و Content-Commerce است؛ اما AI به‌تنهایی Feature یا اثبات ارزش نیست.</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Next Evidence Action</w:t>
            </w:r>
          </w:p>
          <w:p>
            <w:pPr>
              <w:spacing w:after="0" w:line="276" w:lineRule="auto"/>
              <w:jc w:val="right"/>
              <w:bidi w:val="1"/>
            </w:pPr>
            <w:r>
              <w:rPr>
                <w:rFonts w:ascii="Vazirmatn" w:hAnsi="Vazirmatn" w:cs="Vazirmatn" w:eastAsia="Vazirmatn"/>
                <w:b w:val="0"/>
                <w:color w:val="1F2937"/>
                <w:sz w:val="20"/>
                <w:rtl w:val="1"/>
              </w:rPr>
              <w:t>Trendها را به Opportunity تبدیل نکنیم مگر اینکه Evidence داخلی مستقل وجود داشته باشد؛ برای موارد top، local demand test طراحی شود.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۱۴. Source Registry</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p>
      <w:pPr>
        <w:spacing w:before="0" w:after="0" w:line="276" w:lineRule="auto"/>
        <w:jc w:val="right"/>
        <w:bidi w:val="1"/>
      </w:pPr>
      <w:r>
        <w:rPr>
          <w:rFonts w:ascii="Vazirmatn" w:hAnsi="Vazirmatn" w:cs="Vazirmatn" w:eastAsia="Vazirmatn"/>
          <w:b w:val="0"/>
          <w:color w:val="4B5563"/>
          <w:sz w:val="17"/>
          <w:rtl w:val="1"/>
        </w:rPr>
        <w:t>نسخه: شهریور ۱۴۰۵  |  روش: DECAF Quantification v1.0  |  وضعیت: سند مستقل Q8</w:t>
      </w:r>
    </w:p>
    <w:sectPr w:rsidR="00FC693F" w:rsidRPr="0006063C" w:rsidSect="00034616">
      <w:headerReference w:type="default" r:id="rId9"/>
      <w:footerReference w:type="default" r:id="rId10"/>
      <w:pgSz w:w="12240" w:h="15840"/>
      <w:pgMar w:top="822" w:right="850" w:bottom="794"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b w:val="0"/>
        <w:color w:val="6B7280"/>
        <w:sz w:val="16"/>
        <w:rtl w:val="1"/>
      </w:rPr>
      <w:t>Q8  •  Global Trends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b w:val="0"/>
        <w:color w:val="6B7280"/>
        <w:sz w:val="16"/>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