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13</w:t>
      </w:r>
    </w:p>
    <w:p>
      <w:pPr>
        <w:spacing w:before="0" w:after="80" w:line="276" w:lineRule="auto"/>
        <w:jc w:val="right"/>
        <w:bidi w:val="1"/>
      </w:pPr>
      <w:r>
        <w:rPr>
          <w:rFonts w:ascii="Vazirmatn" w:hAnsi="Vazirmatn" w:cs="Vazirmatn" w:eastAsia="Vazirmatn"/>
          <w:b/>
          <w:color w:val="162037"/>
          <w:sz w:val="50"/>
          <w:rtl w:val="1"/>
        </w:rPr>
        <w:t>برآورد Impact مورد انتظار</w:t>
      </w:r>
    </w:p>
    <w:p>
      <w:pPr>
        <w:spacing w:before="0" w:after="320" w:line="276" w:lineRule="auto"/>
        <w:jc w:val="right"/>
        <w:bidi w:val="1"/>
      </w:pPr>
      <w:r>
        <w:rPr>
          <w:rFonts w:ascii="Vazirmatn" w:hAnsi="Vazirmatn" w:cs="Vazirmatn" w:eastAsia="Vazirmatn"/>
          <w:b w:val="0"/>
          <w:color w:val="4B5563"/>
          <w:sz w:val="25"/>
          <w:rtl w:val="1"/>
        </w:rPr>
        <w:t>Expected Impact</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Impact را به شکل زنجیره علت‌ومعلولی تعریف کردیم، نه uplift ساختگی. انتظار داریم Guided Flow ابتدا effort و uncertainty را کاهش دهد، سپس روی recommendation click، PDP engagement و ATC اثر بگذارد و در نهایت شاید به Purchase/Contribution برسد. چون baseline و experiment نداریم، جهت اثر قابل بحث است اما اندازه اثر هنوز Hypothesis است.</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78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B — قابل استفاده با Caveat</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77.8</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Impact را به شکل زنجیره علت‌ومعلولی تعریف کردیم، نه uplift ساختگی. انتظار داریم Guided Flow ابتدا effort و uncertainty را کاهش دهد، سپس روی recommendation click، PDP engagement و ATC اثر بگذارد و در نهایت شاید به Purchase/Contribution برسد. چون baseline و experiment نداریم، جهت اثر قابل بحث است اما اندازه اثر هنوز Hypothesis است.</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اگر Feature جواب دهد، از چه Mechanismی باید روی رفتار، KPI و Business اثر بگذارد و کدام بخش هنوز ناشناخته است؟</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impact</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قابل دفاع</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effort کمتر، clarity بیشتر، confidence بالاتر</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Mechanism منطقی و متصل به evidence.</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 impact</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فرضیه قوی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کمتر شدن external comparison / delay، افزایش rec click و ATC</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نیازمند experiment.</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impact</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Hypothesis</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Conversion / AOV / retention / contribution</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بدون baseline و causal test عدد نمی‌دهیم.</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Guardrails</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قابل تعریف</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return, cancel, complaint, mismatch, safety</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برای جلوگیری از بهبود ظاهری KPI.</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Delivery impact</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غیرهدف اصلی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عملیات فعلی نسبتاً قوی</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Feature pre-purchase است.</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Causal Mechanism</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Baseline Metric Availability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اما ناقص</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Expected Behavior Change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Experiment / Benchmark Evidence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Critical Unknown / ضعیف</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Guardrail Definition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Measurement Traceability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Assumption Transparency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Baseline conversion برای eligible sessions</w:t>
      </w:r>
    </w:p>
    <w:p>
      <w:pPr>
        <w:spacing w:after="60"/>
        <w:jc w:val="right"/>
        <w:bidi w:val="1"/>
      </w:pPr>
      <w:r>
        <w:rPr>
          <w:rFonts w:ascii="Vazirmatn" w:hAnsi="Vazirmatn" w:cs="Vazirmatn" w:eastAsia="Vazirmatn"/>
          <w:b w:val="0"/>
          <w:color w:val="1F2937"/>
          <w:sz w:val="20"/>
          <w:rtl w:val="1"/>
        </w:rPr>
        <w:t>• experiment lift</w:t>
      </w:r>
    </w:p>
    <w:p>
      <w:pPr>
        <w:spacing w:after="60"/>
        <w:jc w:val="right"/>
        <w:bidi w:val="1"/>
      </w:pPr>
      <w:r>
        <w:rPr>
          <w:rFonts w:ascii="Vazirmatn" w:hAnsi="Vazirmatn" w:cs="Vazirmatn" w:eastAsia="Vazirmatn"/>
          <w:b w:val="0"/>
          <w:color w:val="1F2937"/>
          <w:sz w:val="20"/>
          <w:rtl w:val="1"/>
        </w:rPr>
        <w:t>• contribution per incremental order</w:t>
      </w:r>
    </w:p>
    <w:p>
      <w:pPr>
        <w:spacing w:after="60"/>
        <w:jc w:val="right"/>
        <w:bidi w:val="1"/>
      </w:pPr>
      <w:r>
        <w:rPr>
          <w:rFonts w:ascii="Vazirmatn" w:hAnsi="Vazirmatn" w:cs="Vazirmatn" w:eastAsia="Vazirmatn"/>
          <w:b w:val="0"/>
          <w:color w:val="1F2937"/>
          <w:sz w:val="20"/>
          <w:rtl w:val="1"/>
        </w:rPr>
        <w:t>• retention effect</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Causal Mechanism</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19.0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Baseline Metric Availability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Expected Behavior Change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Experiment / Benchmark Evidence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7.5</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Guardrail Definition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13.5</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Measurement Traceability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Assumption Transparency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77.8 از 100</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اعمال Cap / Penalty</w:t>
            </w:r>
          </w:p>
          <w:p>
            <w:pPr>
              <w:spacing w:after="0" w:line="276" w:lineRule="auto"/>
              <w:jc w:val="right"/>
              <w:bidi w:val="1"/>
            </w:pPr>
            <w:r>
              <w:rPr>
                <w:rFonts w:ascii="Vazirmatn" w:hAnsi="Vazirmatn" w:cs="Vazirmatn" w:eastAsia="Vazirmatn"/>
                <w:b w:val="0"/>
                <w:color w:val="1F2937"/>
                <w:sz w:val="20"/>
                <w:rtl w:val="1"/>
              </w:rPr>
              <w:t>بدون Cap مؤثر</w:t>
            </w:r>
          </w:p>
        </w:tc>
      </w:tr>
    </w:tbl>
    <w:p>
      <w:pPr>
        <w:spacing w:before="0" w:after="20" w:line="276" w:lineRule="auto"/>
        <w:jc w:val="right"/>
        <w:bidi w:val="1"/>
      </w:pPr>
      <w:r>
        <w:rPr>
          <w:rFonts w:ascii="Vazirmatn" w:hAnsi="Vazirmatn" w:cs="Vazirmatn" w:eastAsia="Vazirmatn"/>
          <w:b w:val="0"/>
          <w:color w:val="1F2937"/>
          <w:sz w:val="20"/>
          <w:rtl w:val="1"/>
        </w:rPr>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78/100 — B — قابل استفاده با Caveat</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بدون baseline و experiment، uplift عددی فقط Scenario/Hypothesis است.</w:t>
      </w:r>
    </w:p>
    <w:p>
      <w:pPr>
        <w:spacing w:after="60"/>
        <w:jc w:val="right"/>
        <w:bidi w:val="1"/>
      </w:pPr>
      <w:r>
        <w:rPr>
          <w:rFonts w:ascii="Vazirmatn" w:hAnsi="Vazirmatn" w:cs="Vazirmatn" w:eastAsia="Vazirmatn"/>
          <w:b w:val="0"/>
          <w:color w:val="1F2937"/>
          <w:sz w:val="20"/>
          <w:rtl w:val="1"/>
        </w:rPr>
        <w:t>• Benchmark competitor مستقیم به uplift خانومی تبدیل نمی‌شود.</w:t>
      </w:r>
    </w:p>
    <w:p>
      <w:pPr>
        <w:spacing w:after="60"/>
        <w:jc w:val="right"/>
        <w:bidi w:val="1"/>
      </w:pPr>
      <w:r>
        <w:rPr>
          <w:rFonts w:ascii="Vazirmatn" w:hAnsi="Vazirmatn" w:cs="Vazirmatn" w:eastAsia="Vazirmatn"/>
          <w:b w:val="0"/>
          <w:color w:val="1F2937"/>
          <w:sz w:val="20"/>
          <w:rtl w:val="1"/>
        </w:rPr>
        <w:t>• Impact Map می‌تواند معتبر باشد حتی اگر اندازه اثر عددی نامعلوم باشد.</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قبل از Forecast عددی، baseline instrumentation و controlled pilot تعریف شود؛ حداقل effect direction + confidence interval گزارش شود.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Selected for Validation به معنی Validated Solution نیست.</w:t>
      </w:r>
    </w:p>
    <w:p>
      <w:pPr>
        <w:spacing w:after="60"/>
        <w:jc w:val="right"/>
        <w:bidi w:val="1"/>
      </w:pPr>
      <w:r>
        <w:rPr>
          <w:rFonts w:ascii="Vazirmatn" w:hAnsi="Vazirmatn" w:cs="Vazirmatn" w:eastAsia="Vazirmatn"/>
          <w:b w:val="0"/>
          <w:color w:val="1F2937"/>
          <w:sz w:val="20"/>
          <w:rtl w:val="1"/>
        </w:rPr>
        <w:t>• بدون Experiment، causal uplift یا ROI قطعی ادعا نمی‌شود.</w:t>
      </w:r>
    </w:p>
    <w:p>
      <w:pPr>
        <w:spacing w:after="60"/>
        <w:jc w:val="right"/>
        <w:bidi w:val="1"/>
      </w:pPr>
      <w:r>
        <w:rPr>
          <w:rFonts w:ascii="Vazirmatn" w:hAnsi="Vazirmatn" w:cs="Vazirmatn" w:eastAsia="Vazirmatn"/>
          <w:b w:val="0"/>
          <w:color w:val="1F2937"/>
          <w:sz w:val="20"/>
          <w:rtl w:val="1"/>
        </w:rPr>
        <w:t>• Benchmark یا نظر مدیریت به‌تنهایی جای behavior واقعی کاربر را نمی‌گیرد.</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Q13: Impact را به شکل زنجیره علت‌ومعلولی تعریف کردیم، نه uplift ساختگی. انتظار داریم Guided Flow ابتدا effort و uncertainty را کاهش دهد، سپس روی recommendation click، PDP engagement و ATC اثر بگذارد و در نهایت شاید به Purchase/Contribution برسد. چون baseline و experiment نداریم، جهت اثر قابل بحث است اما اندازه اثر هنوز Hypothesis است.</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قبل از Forecast عددی، baseline instrumentation و controlled pilot تعریف شود؛ حداقل effect direction + confidence interval گزارش شود.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Q13</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Q13  •  Expected Impact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