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Szkeleton tervezése</w:t>
      </w:r>
    </w:p>
    <w:p>
      <w:pPr>
        <w:pStyle w:val="Heading2"/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rPr/>
      </w:pPr>
      <w:r>
        <w:rPr/>
        <w:t>Use-case diagram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Use-case leírások</w:t>
      </w:r>
    </w:p>
    <w:p>
      <w:pPr>
        <w:pStyle w:val="magyarazat"/>
        <w:rPr/>
      </w:pPr>
      <w:r>
        <w:rPr/>
        <w:t>[Minden use-case-hez külön]</w:t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</w:t>
            </w:r>
            <w:r>
              <w:rPr/>
              <w:t>test</w:t>
            </w:r>
            <w:r>
              <w:rPr/>
              <w:t xml:space="preserve"> növesztés „</w:t>
            </w:r>
            <w:r>
              <w:rPr/>
              <w:t>Fertile</w:t>
            </w:r>
            <w:r>
              <w:rPr/>
              <w:t>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már megvan a megfelelő mennyiségű spóra (3db) és van rajta gombafonál.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s2, s3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>GrowMushroomBody() metódusa lefut és sikerrel tér vissza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6. A tekton levonja mag</w:t>
            </w:r>
            <w:r>
              <w:rPr>
                <w:lang w:val="hu-HU"/>
              </w:rPr>
              <w:t>ából a 3 spórát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7. A tekton sz</w:t>
            </w:r>
            <w:r>
              <w:rPr>
                <w:lang w:val="hu-HU"/>
              </w:rPr>
              <w:t>ól vissza az adott MB-nak, paramétere pedig a spórák számával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8</w:t>
            </w:r>
            <w:r>
              <w:rPr/>
              <w:t>.</w:t>
            </w:r>
            <w:r>
              <w:rPr/>
              <w:t>A MB grow(sporeCount: int) metódusa megivódik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=evaluateGrowMushroomBody()=&gt;grow(sporeCount)=&gt;MB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</w:t>
            </w:r>
            <w:r>
              <w:rPr>
                <w:lang w:val="en-US"/>
              </w:rPr>
              <w:t xml:space="preserve">Fertile” </w:t>
            </w:r>
            <w:r>
              <w:rPr>
                <w:lang w:val="hu-HU"/>
              </w:rPr>
              <w:t>típusú tektonra, amin már van gombatest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már megvan a megfelelő mennyiségű spóra (3db) és van rajta gombafonál, </w:t>
            </w:r>
            <w:r>
              <w:rPr/>
              <w:t>de van rajta már gombatest</w:t>
            </w:r>
            <w:r>
              <w:rPr/>
              <w:t xml:space="preserve">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s3 spórák a T tektonon találhatók és az M mycelium is ezen a T tektonon található </w:t>
            </w:r>
            <w:r>
              <w:rPr/>
              <w:t>a T tektonon található már gombatest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</w:t>
            </w:r>
            <w:r>
              <w:rPr>
                <w:lang w:val="en-US"/>
              </w:rPr>
              <w:t xml:space="preserve">Fertile” </w:t>
            </w:r>
            <w:r>
              <w:rPr>
                <w:lang w:val="hu-HU"/>
              </w:rPr>
              <w:t>típusú tektonra, amin nincs elég spóra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</w:t>
            </w:r>
            <w:r>
              <w:rPr/>
              <w:t>nincs</w:t>
            </w:r>
            <w:r>
              <w:rPr/>
              <w:t xml:space="preserve"> megfelelő mennyiségű spóra (&lt;3db) és van rajta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450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</w:t>
            </w:r>
            <w:r>
              <w:rPr>
                <w:lang w:val="en-US"/>
              </w:rPr>
              <w:t xml:space="preserve">Fertile” </w:t>
            </w:r>
            <w:r>
              <w:rPr>
                <w:lang w:val="hu-HU"/>
              </w:rPr>
              <w:t>típusú tektonra, a</w:t>
            </w:r>
            <w:r>
              <w:rPr>
                <w:lang w:val="en-US"/>
              </w:rPr>
              <w:t>min nincs gombafon</w:t>
            </w:r>
            <w:r>
              <w:rPr>
                <w:lang w:val="hu-HU"/>
              </w:rPr>
              <w:t>ál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 megfelelő mennyiségű spóra (3db) </w:t>
            </w:r>
            <w:r>
              <w:rPr/>
              <w:t>de nincs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</w:t>
            </w:r>
            <w:r>
              <w:rPr/>
              <w:t>s3</w:t>
            </w:r>
            <w:r>
              <w:rPr/>
              <w:t xml:space="preserve"> spórák a T tektonon találhatók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</w:t>
            </w:r>
            <w:r>
              <w:rPr/>
              <w:t>test</w:t>
            </w:r>
            <w:r>
              <w:rPr/>
              <w:t xml:space="preserve"> növesztés „</w:t>
            </w:r>
            <w:r>
              <w:rPr/>
              <w:t>Arid</w:t>
            </w:r>
            <w:r>
              <w:rPr/>
              <w:t>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/>
              <w:t>Arid</w:t>
            </w:r>
            <w:r>
              <w:rPr/>
              <w:t xml:space="preserve">Tectonra. Amelyen már megvan a megfelelő mennyiségű spóra (3db) és van rajta gombafonál.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s2, s3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/>
              <w:t>Arid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/>
              <w:t>Arid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/>
              <w:t>Arid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/>
              <w:t>Arid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>GrowMushroomBody() metódusa lefut és sikerrel tér vissza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6. A tekton levonja mag</w:t>
            </w:r>
            <w:r>
              <w:rPr>
                <w:lang w:val="hu-HU"/>
              </w:rPr>
              <w:t>ából a 3 spórát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7. A tekton sz</w:t>
            </w:r>
            <w:r>
              <w:rPr>
                <w:lang w:val="hu-HU"/>
              </w:rPr>
              <w:t>ól vissza az adott MB-nak, paramétere pedig a spórák számával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8</w:t>
            </w:r>
            <w:r>
              <w:rPr/>
              <w:t>.</w:t>
            </w:r>
            <w:r>
              <w:rPr/>
              <w:t>A MB grow(sporeCount: int) metódusa megivódik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=evaluateGrowMushroomBody()=&gt;grow(sporeCount)=&gt;MB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„Arid</w:t>
            </w:r>
            <w:r>
              <w:rPr>
                <w:lang w:val="en-US"/>
              </w:rPr>
              <w:t xml:space="preserve">” </w:t>
            </w:r>
            <w:r>
              <w:rPr>
                <w:lang w:val="hu-HU"/>
              </w:rPr>
              <w:t>típusú tektonra, amin már van gombatest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/>
              <w:t>Arid</w:t>
            </w:r>
            <w:r>
              <w:rPr/>
              <w:t xml:space="preserve">Tectonra. Amelyen már megvan a megfelelő mennyiségű spóra (3db) és van rajta gombafonál, </w:t>
            </w:r>
            <w:r>
              <w:rPr/>
              <w:t>de van rajta már gombatest</w:t>
            </w:r>
            <w:r>
              <w:rPr/>
              <w:t xml:space="preserve">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s3 spórák a T tektonon találhatók és az M mycelium is ezen a T tektonon található </w:t>
            </w:r>
            <w:r>
              <w:rPr/>
              <w:t>a T tektonon található már gombatest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/>
              <w:t>Arid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/>
              <w:t>Arid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/>
              <w:t>Arid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/>
              <w:t>Arid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„Arid</w:t>
            </w:r>
            <w:r>
              <w:rPr>
                <w:lang w:val="en-US"/>
              </w:rPr>
              <w:t xml:space="preserve">” </w:t>
            </w:r>
            <w:r>
              <w:rPr>
                <w:lang w:val="hu-HU"/>
              </w:rPr>
              <w:t>típusú tektonra, amin nincs elég spóra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/>
              <w:t>Arid</w:t>
            </w:r>
            <w:r>
              <w:rPr/>
              <w:t xml:space="preserve">Tectonra. Amelyen </w:t>
            </w:r>
            <w:r>
              <w:rPr/>
              <w:t>nincs</w:t>
            </w:r>
            <w:r>
              <w:rPr/>
              <w:t xml:space="preserve"> megfelelő mennyiségű spóra (&lt;3db) és van rajta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/>
              <w:t>Arid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/>
              <w:t>Arid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/>
              <w:t>Arid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/>
              <w:t>Arid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450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„Arid</w:t>
            </w:r>
            <w:r>
              <w:rPr>
                <w:lang w:val="en-US"/>
              </w:rPr>
              <w:t xml:space="preserve">” </w:t>
            </w:r>
            <w:r>
              <w:rPr>
                <w:lang w:val="hu-HU"/>
              </w:rPr>
              <w:t>típusú tektonra, a</w:t>
            </w:r>
            <w:r>
              <w:rPr>
                <w:lang w:val="en-US"/>
              </w:rPr>
              <w:t>min nincs gombafon</w:t>
            </w:r>
            <w:r>
              <w:rPr>
                <w:lang w:val="hu-HU"/>
              </w:rPr>
              <w:t>ál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/>
              <w:t>Arid</w:t>
            </w:r>
            <w:r>
              <w:rPr/>
              <w:t xml:space="preserve">Tectonra. Amelyen  megfelelő mennyiségű spóra (3db) </w:t>
            </w:r>
            <w:r>
              <w:rPr/>
              <w:t>de nincs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</w:t>
            </w:r>
            <w:r>
              <w:rPr/>
              <w:t>s3</w:t>
            </w:r>
            <w:r>
              <w:rPr/>
              <w:t xml:space="preserve"> spórák a T tektonon találhatók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/>
              <w:t>Arid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/>
              <w:t>Arid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/>
              <w:t>Arid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/>
              <w:t>Arid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hu-HU"/>
              </w:rPr>
              <w:t>Arid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</w:t>
            </w:r>
            <w:r>
              <w:rPr/>
              <w:t>test</w:t>
            </w:r>
            <w:r>
              <w:rPr/>
              <w:t xml:space="preserve"> növesztés „</w:t>
            </w:r>
            <w:r>
              <w:rPr/>
              <w:t>MultiLayered</w:t>
            </w:r>
            <w:r>
              <w:rPr/>
              <w:t>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>
                <w:lang w:val="en-US"/>
              </w:rPr>
              <w:t>MultiLayered</w:t>
            </w:r>
            <w:r>
              <w:rPr/>
              <w:t xml:space="preserve">Tectonra. Amelyen már megvan a megfelelő mennyiségű spóra (3db) és van rajta gombafonál.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s2, s3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>
                <w:lang w:val="en-US"/>
              </w:rPr>
              <w:t>MultiLayered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>
                <w:lang w:val="en-US"/>
              </w:rPr>
              <w:t>MultiLayered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>
                <w:lang w:val="en-US"/>
              </w:rPr>
              <w:t>MultiLayered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>
                <w:lang w:val="en-US"/>
              </w:rPr>
              <w:t>MultiLayered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>GrowMushroomBody() metódusa lefut és sikerrel tér vissza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6. A tekton levonja mag</w:t>
            </w:r>
            <w:r>
              <w:rPr>
                <w:lang w:val="hu-HU"/>
              </w:rPr>
              <w:t>ából a 3 spórát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7. A tekton sz</w:t>
            </w:r>
            <w:r>
              <w:rPr>
                <w:lang w:val="hu-HU"/>
              </w:rPr>
              <w:t>ól vissza az adott MB-nak, paramétere pedig a spórák számával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8</w:t>
            </w:r>
            <w:r>
              <w:rPr/>
              <w:t>.</w:t>
            </w:r>
            <w:r>
              <w:rPr/>
              <w:t>A MB grow(sporeCount: int) metódusa megivódik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=evaluateGrowMushroomBody()=&gt;grow(sporeCount)=&gt;MB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„M</w:t>
            </w:r>
            <w:r>
              <w:rPr>
                <w:lang w:val="en-US"/>
              </w:rPr>
              <w:t xml:space="preserve">ultiLayered” </w:t>
            </w:r>
            <w:r>
              <w:rPr>
                <w:lang w:val="hu-HU"/>
              </w:rPr>
              <w:t>típusú tektonra, amin már van gombatest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>
                <w:lang w:val="en-US"/>
              </w:rPr>
              <w:t>MultiLayered</w:t>
            </w:r>
            <w:r>
              <w:rPr/>
              <w:t xml:space="preserve">Tectonra. Amelyen már megvan a megfelelő mennyiségű spóra (3db) és van rajta gombafonál, </w:t>
            </w:r>
            <w:r>
              <w:rPr/>
              <w:t>de van rajta már gombatest</w:t>
            </w:r>
            <w:r>
              <w:rPr/>
              <w:t xml:space="preserve">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s3 spórák a T tektonon találhatók és az M mycelium is ezen a T tektonon található </w:t>
            </w:r>
            <w:r>
              <w:rPr/>
              <w:t>a T tektonon található már gombatest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>
                <w:lang w:val="en-US"/>
              </w:rPr>
              <w:t>MultiLayered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>
                <w:lang w:val="en-US"/>
              </w:rPr>
              <w:t>MultiLayered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>
                <w:lang w:val="en-US"/>
              </w:rPr>
              <w:t>MultiLayered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>
                <w:lang w:val="en-US"/>
              </w:rPr>
              <w:t>MultiLayered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„M</w:t>
            </w:r>
            <w:r>
              <w:rPr>
                <w:lang w:val="en-US"/>
              </w:rPr>
              <w:t xml:space="preserve">ultiLayered” </w:t>
            </w:r>
            <w:r>
              <w:rPr>
                <w:lang w:val="hu-HU"/>
              </w:rPr>
              <w:t>típusú tektonra, amin nincs elég spóra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>
                <w:lang w:val="en-US"/>
              </w:rPr>
              <w:t>MultiLayered</w:t>
            </w:r>
            <w:r>
              <w:rPr/>
              <w:t xml:space="preserve">Tectonra. Amelyen </w:t>
            </w:r>
            <w:r>
              <w:rPr/>
              <w:t>nincs</w:t>
            </w:r>
            <w:r>
              <w:rPr/>
              <w:t xml:space="preserve"> megfelelő mennyiségű spóra (&lt;3db) és van rajta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>
                <w:lang w:val="en-US"/>
              </w:rPr>
              <w:t>MultiLayered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>
                <w:lang w:val="en-US"/>
              </w:rPr>
              <w:t>MultiLayered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>
                <w:lang w:val="en-US"/>
              </w:rPr>
              <w:t>MultiLayered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>
                <w:lang w:val="en-US"/>
              </w:rPr>
              <w:t>MultiLayered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450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„M</w:t>
            </w:r>
            <w:r>
              <w:rPr>
                <w:lang w:val="en-US"/>
              </w:rPr>
              <w:t xml:space="preserve">ultiLayered” </w:t>
            </w:r>
            <w:r>
              <w:rPr>
                <w:lang w:val="hu-HU"/>
              </w:rPr>
              <w:t>típusú tektonra, a</w:t>
            </w:r>
            <w:r>
              <w:rPr>
                <w:lang w:val="en-US"/>
              </w:rPr>
              <w:t>min nincs gombafon</w:t>
            </w:r>
            <w:r>
              <w:rPr>
                <w:lang w:val="hu-HU"/>
              </w:rPr>
              <w:t>ál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>
                <w:lang w:val="en-US"/>
              </w:rPr>
              <w:t>MultiLayered</w:t>
            </w:r>
            <w:r>
              <w:rPr/>
              <w:t xml:space="preserve">Tectonra. Amelyen  megfelelő mennyiségű spóra (3db) </w:t>
            </w:r>
            <w:r>
              <w:rPr/>
              <w:t>de nincs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</w:t>
            </w:r>
            <w:r>
              <w:rPr/>
              <w:t>s3</w:t>
            </w:r>
            <w:r>
              <w:rPr/>
              <w:t xml:space="preserve"> spórák a T tektonon találhatók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>
                <w:lang w:val="en-US"/>
              </w:rPr>
              <w:t>MultiLayered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>
                <w:lang w:val="en-US"/>
              </w:rPr>
              <w:t>MultiLayered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>
                <w:lang w:val="en-US"/>
              </w:rPr>
              <w:t>MultiLayered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>
                <w:lang w:val="en-US"/>
              </w:rPr>
              <w:t>MultiLayered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en-US"/>
              </w:rPr>
              <w:t>MultiLayered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Gombatest n</w:t>
            </w:r>
            <w:r>
              <w:rPr>
                <w:lang w:val="hu-HU"/>
              </w:rPr>
              <w:t>övesztése „</w:t>
            </w:r>
            <w:r>
              <w:rPr>
                <w:lang w:val="en-US"/>
              </w:rPr>
              <w:t xml:space="preserve">SemiFertile” </w:t>
            </w:r>
            <w:r>
              <w:rPr>
                <w:lang w:val="hu-HU"/>
              </w:rPr>
              <w:t>típusu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</w:t>
            </w:r>
            <w:r>
              <w:rPr>
                <w:lang w:val="hu-HU"/>
              </w:rPr>
              <w:t>SemiFertile</w:t>
            </w:r>
            <w:r>
              <w:rPr/>
              <w:t xml:space="preserve">Tectonra. Amelyen már megvan a megfelelő mennyiségű spóra (3db) és van rajta gombafonál.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s2, s3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Meghivódik MB gombatest konstruktora amelyben paraméterként átadódik a T </w:t>
            </w:r>
            <w:r>
              <w:rPr>
                <w:lang w:val="hu-HU"/>
              </w:rPr>
              <w:t>SemiFertile</w:t>
            </w: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 xml:space="preserve">, amelyben paraméterként átadja T </w:t>
            </w:r>
            <w:r>
              <w:rPr>
                <w:lang w:val="hu-HU"/>
              </w:rPr>
              <w:t>SemiFertile</w:t>
            </w:r>
            <w:r>
              <w:rPr/>
              <w:t>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 xml:space="preserve">4. MBGE meghivja T </w:t>
            </w:r>
            <w:r>
              <w:rPr>
                <w:lang w:val="hu-HU"/>
              </w:rPr>
              <w:t>SemiFertile</w:t>
            </w:r>
            <w:r>
              <w:rPr/>
              <w:t>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</w:t>
            </w:r>
            <w:r>
              <w:rPr>
                <w:lang w:val="hu-HU"/>
              </w:rPr>
              <w:t>SemiFertile</w:t>
            </w:r>
            <w:r>
              <w:rPr/>
              <w:t xml:space="preserve">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sikeres-el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</w:t>
            </w:r>
            <w:r>
              <w:rPr>
                <w:lang w:val="hu-HU"/>
              </w:rPr>
              <w:t>SemiFertile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</w:t>
            </w:r>
            <w:r>
              <w:rPr>
                <w:lang w:val="hu-HU"/>
              </w:rPr>
              <w:t>SemiFertile</w:t>
            </w:r>
            <w:r>
              <w:rPr>
                <w:lang w:val="en-US"/>
              </w:rPr>
              <w:t>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gombafonál növesztés „Arid”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ellenőrzi, hogy alkalmas-e a MultiLayered tecton a mycelium növekedéshez, és ha igen, akkor a gombafonal növekedése megtörténik a mycelium növekedési szabályainak megfelelően.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rendszerben létezik egy MultiLayered típusú tecton, amelynek még nincs myceliuma. A mycelium növekedési feltételei adottak.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MultiLayered tecton objektum, mycelium objektum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>
                <w:lang w:val="en-US"/>
              </w:rPr>
              <w:t>A rendszer l</w:t>
            </w:r>
            <w:r>
              <w:rPr/>
              <w:t>étrehozza a MultiLayeredTecton objektumot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>
                <w:lang w:val="en-US"/>
              </w:rPr>
              <w:t>A rendszer l</w:t>
            </w:r>
            <w:r>
              <w:rPr/>
              <w:t>étrehozza a szükséges Mycelium objektumot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A tesz</w:t>
            </w:r>
            <w:r>
              <w:rPr/>
              <w:t>telő meghivja a gombafonál konstruktorát</w:t>
            </w:r>
          </w:p>
          <w:p>
            <w:pPr>
              <w:pStyle w:val="Normal"/>
              <w:rPr/>
            </w:pPr>
            <w:r>
              <w:rPr/>
              <w:t>4. A MyceliumGrowthEvaluator értékeli a MultiLayeredTecton alkalmasságát a micélium növekedésére</w:t>
            </w:r>
          </w:p>
          <w:p>
            <w:pPr>
              <w:pStyle w:val="Normal"/>
              <w:rPr/>
            </w:pPr>
            <w:r>
              <w:rPr/>
              <w:t>5. Ha a feltételek megfelelőek, a micélium elkezd növekedni a MultiLayeredTecton struktúrában</w:t>
            </w:r>
          </w:p>
          <w:p>
            <w:pPr>
              <w:pStyle w:val="Normal"/>
              <w:rPr/>
            </w:pPr>
            <w:r>
              <w:rPr/>
              <w:t>6. A növekedés sebessége és mintázata a MultiLayeredTecton speciális tulajdonságaihoz igazodik</w:t>
            </w:r>
          </w:p>
          <w:p>
            <w:pPr>
              <w:pStyle w:val="Normal"/>
              <w:rPr/>
            </w:pPr>
            <w:r>
              <w:rPr/>
              <w:t>7. A rendszer frissíti a MultiLayeredTecton állapotát a micélium növekedésével</w:t>
            </w:r>
          </w:p>
          <w:p>
            <w:pPr>
              <w:pStyle w:val="Normal"/>
              <w:rPr/>
            </w:pPr>
            <w:r>
              <w:rPr/>
              <w:t>8. A tesztelő ellenőrzi a növekedés eredményét és mintázatát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Két tekton szomszédságának létezése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ellenőrzi, hogy két adott tekton(A és B tektonok) szomszédjaik-e egymásnak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rendszerben létezik két tekton, melyek még nincsenek összekötve mint szomszédok.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>2. A rendszer létrehoz két tektont (ezek lehetnek bármilyen típusuak csak az absztakt osztaly nem)</w:t>
            </w:r>
          </w:p>
          <w:p>
            <w:pPr>
              <w:pStyle w:val="Normal"/>
              <w:rPr/>
            </w:pPr>
            <w:r>
              <w:rPr/>
              <w:t>3. A rendszer meghivja az A tekton addNeighbour(B) metódusát</w:t>
            </w:r>
          </w:p>
          <w:p>
            <w:pPr>
              <w:pStyle w:val="Normal"/>
              <w:rPr/>
            </w:pPr>
            <w:r>
              <w:rPr/>
              <w:t>4. A rendszer frissiti az A tekton neighbours listáját</w:t>
            </w:r>
          </w:p>
          <w:p>
            <w:pPr>
              <w:pStyle w:val="Normal"/>
              <w:rPr/>
            </w:pPr>
            <w:r>
              <w:rPr/>
              <w:t>5. A rendszer meghivja a B tekton addNeighbour(A) metódusát</w:t>
            </w:r>
          </w:p>
          <w:p>
            <w:pPr>
              <w:pStyle w:val="Normal"/>
              <w:rPr/>
            </w:pPr>
            <w:r>
              <w:rPr/>
              <w:t>6. A rendszer frissiti a B tekton neighbours listáját</w:t>
            </w:r>
          </w:p>
          <w:p>
            <w:pPr>
              <w:pStyle w:val="Normal"/>
              <w:rPr/>
            </w:pPr>
            <w:r>
              <w:rPr/>
              <w:t xml:space="preserve">7. </w:t>
            </w:r>
            <w:r>
              <w:rPr>
                <w:shd w:fill="FFFF00" w:val="clear"/>
              </w:rPr>
              <w:t>Itt kellene visszaadjon valami confirmation-t hogy tényleg be lettek rakva egymás listáiba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Kell meg egy tesztcase amikor arid tektonon lejar az ideje</w:t>
      </w:r>
    </w:p>
    <w:p>
      <w:pPr>
        <w:pStyle w:val="Heading2"/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Heading2"/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5"/>
        <w:gridCol w:w="2214"/>
        <w:gridCol w:w="2213"/>
        <w:gridCol w:w="2963"/>
      </w:tblGrid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2025.03.11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45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Új követelmények átbeszélése és értelmezése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2025.03.12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konzultáción elmondott problémák átbeszélése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Konzultáción átbeszélt problémák megoldásainak átbeszélése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Osztálydiagram minden metódusának, tagváltozójának alapos átnézése és javítása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Szekvencia diagramok átrajzolása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Szekvencia diagramok átrajzolása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Állapotdiagramok átrajzolása a konzultáción megbeszélteknek megfelelően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Tegnap elkészített új szekvencia diagramok átbeszélése, javítása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Osztálydiagram javítása és kiegészítése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21:30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test-case-ekhez kapcsolódó kommunikációs diagrammok átbeszélése és mintadiagram létrehozása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kiosztása, kommunikációs és szekvencia diagramok megrajzolására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megbeszélés alapján a beosztott test-casek komm. és szekv. diagramjainak megrajzolása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nyelv kidolgozása mely a console-on fog megjelenni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alapján kiosztott komm. és szekv. diagramok megrajzolása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kiosztott test-case-ek komm. és szekv. diagramok megrajzolása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szerinti tesztesetek kidolgozása az ott elhangzottakna megfelelően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szekvencia és kommunikációs diagramok átbeszélése és a szöveges részek megírásának beosztása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 leírások készítése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szerinti tesztesetek javítása, kiegészítése és véglegesítése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leírásainak megírása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szöveges megírása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Teljes megoldások átnézése esetleges javítások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Kommunikációs és szekvencia diagramok befejezése és use-casek pontosítása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35052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3505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27.6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35052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3505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27.6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4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alloonText"/>
    <w:qFormat/>
    <w:rsid w:val="00276742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d4022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Application>LibreOffice/24.8.5.2$Windows_X86_64 LibreOffice_project/fddf2685c70b461e7832239a0162a77216259f22</Application>
  <AppVersion>15.0000</AppVersion>
  <Pages>15</Pages>
  <Words>2623</Words>
  <Characters>19502</Characters>
  <CharactersWithSpaces>21657</CharactersWithSpaces>
  <Paragraphs>618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  <dc:description/>
  <dc:language>en-US</dc:language>
  <cp:lastModifiedBy/>
  <dcterms:modified xsi:type="dcterms:W3CDTF">2025-03-17T12:41:53Z</dcterms:modified>
  <cp:revision>41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