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bookmarkStart w:id="0" w:name="_Ref251771138"/>
      <w:r>
        <w:rPr/>
        <w:t>Követelmény, projekt, funkcionalitás</w:t>
      </w:r>
      <w:bookmarkEnd w:id="0"/>
    </w:p>
    <w:p>
      <w:pPr>
        <w:pStyle w:val="Heading2"/>
        <w:rPr/>
      </w:pPr>
      <w:r>
        <w:rPr/>
        <w:t>Bevezetés</w:t>
      </w:r>
    </w:p>
    <w:p>
      <w:pPr>
        <w:pStyle w:val="Heading3"/>
        <w:rPr/>
      </w:pPr>
      <w:r>
        <w:rPr/>
        <w:t>Cél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dokumentum célja]</w:t>
      </w:r>
    </w:p>
    <w:p>
      <w:pPr>
        <w:pStyle w:val="Heading3"/>
        <w:rPr/>
      </w:pPr>
      <w:r>
        <w:rPr/>
        <w:t>Szakterület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>
      <w:pPr>
        <w:pStyle w:val="Heading3"/>
        <w:rPr/>
      </w:pPr>
      <w:r>
        <w:rPr/>
        <w:t>Definíciók, rövidítések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>
      <w:pPr>
        <w:pStyle w:val="Heading3"/>
        <w:rPr/>
      </w:pPr>
      <w:r>
        <w:rPr/>
        <w:t>Hivatkozások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>
      <w:pPr>
        <w:pStyle w:val="Heading3"/>
        <w:rPr/>
      </w:pPr>
      <w:r>
        <w:rPr/>
        <w:t>Összefoglalás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>
      <w:pPr>
        <w:pStyle w:val="Heading2"/>
        <w:rPr/>
      </w:pPr>
      <w:r>
        <w:rPr/>
        <w:t>Áttekintés</w:t>
      </w:r>
    </w:p>
    <w:p>
      <w:pPr>
        <w:pStyle w:val="Heading3"/>
        <w:rPr/>
      </w:pPr>
      <w:r>
        <w:rPr/>
        <w:t>Általános áttekintés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>
      <w:pPr>
        <w:pStyle w:val="Normal"/>
        <w:numPr>
          <w:ilvl w:val="0"/>
          <w:numId w:val="5"/>
        </w:numPr>
        <w:spacing w:lineRule="auto" w:line="276" w:before="180" w:after="120"/>
        <w:ind w:hanging="357" w:left="357"/>
        <w:jc w:val="both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Architektúra és alrendszerek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rendszer moduláris felépítésű, amely a következő fontosabb alrendszerekből áll: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Logikai alrendszer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kezeli a tektonok jellemzőit (pl. lehetséges-e gombafonalak kereszteződése) és fejlődését (törését), mozgását és térbeli elhelyezkedését, valamint szomszédsági kapcsolatait;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nyilvántartja a gombák helyzetét és állapotát;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szabályozza a gombafonalak növekedését, jellemzőit és állapotát;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meghatározza a spóraszórást és új gombatest kifejlődését, valamint a spórák jellemzőit;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nyilvántartja a rovarok helyzetét és állapotát, szabályozza a mozgásukat és cselekedeteiket.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Felhasználói alrendszer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lehetővé teszi a gombászoknak a fonalak növekedési irányának meghatározását, a spóraszórás időzítését és új gombatestek létrehozását;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biztosítja a rovarászok számára a rovarok mozgásának irányítását és a gombafonalak elvágását.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Megjelenítési alrendszer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grafikus felületet biztosít a játék vizualizálására;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játékállapotokat jelenít meg a felhasználók számára (pl. ki vezet).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Kommunikációs alrendszer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biztosítja az alrendszerek közötti adatcserét és információáramlást;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gondoskodik a játékesemények szinkronizációjáról az egyes alrendszerek között.</w:t>
      </w:r>
    </w:p>
    <w:p>
      <w:pPr>
        <w:pStyle w:val="Normal"/>
        <w:numPr>
          <w:ilvl w:val="0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Adattárolási alrendszer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tárolja a statisztikákat (pl. a gombatestek száma, a rovarok által fogyasztott spórák mennyisége);</w:t>
      </w:r>
    </w:p>
    <w:p>
      <w:pPr>
        <w:pStyle w:val="Normal"/>
        <w:numPr>
          <w:ilvl w:val="1"/>
          <w:numId w:val="6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kezeli a játék mentését és visszatöltését.</w:t>
      </w:r>
    </w:p>
    <w:p>
      <w:pPr>
        <w:pStyle w:val="Normal"/>
        <w:numPr>
          <w:ilvl w:val="0"/>
          <w:numId w:val="5"/>
        </w:numPr>
        <w:spacing w:lineRule="auto" w:line="276" w:before="300" w:after="120"/>
        <w:ind w:hanging="357" w:left="357"/>
        <w:jc w:val="both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Az alrendszerek közötti interfészek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Az alrendszerek között a következő interfészek kerülnek kialakításra: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felhasználói alrendszer továbbítja a játékosok döntéseit a logikai alrendszer felé, amely azok alapján frissíti a játékállapotokat;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logikai alrendszer kommunikál a megjelenítési alrendszerrel, hogy az események vizuálisan is megjelenítésre kerüljenek;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az adattárolási alrendszer elmenti a játék állapotát és biztosítja annak betöltését;</w:t>
      </w:r>
    </w:p>
    <w:p>
      <w:pPr>
        <w:pStyle w:val="Normal"/>
        <w:numPr>
          <w:ilvl w:val="0"/>
          <w:numId w:val="7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kommunikációs alrendszer feladata az információáramlás biztosítása az egyes alrendszerek között.</w:t>
      </w:r>
    </w:p>
    <w:p>
      <w:pPr>
        <w:pStyle w:val="Normal"/>
        <w:numPr>
          <w:ilvl w:val="0"/>
          <w:numId w:val="5"/>
        </w:numPr>
        <w:spacing w:lineRule="auto" w:line="276" w:before="300" w:after="120"/>
        <w:ind w:hanging="357" w:left="357"/>
        <w:jc w:val="both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Felhasználói kapcsolatok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felhasználói interakciók a következő módon kerülnek végrehajtásra:</w:t>
      </w:r>
    </w:p>
    <w:p>
      <w:pPr>
        <w:pStyle w:val="Normal"/>
        <w:numPr>
          <w:ilvl w:val="0"/>
          <w:numId w:val="8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játékosok döntéseiket egy interaktív felületen keresztül hozzák meg;</w:t>
      </w:r>
    </w:p>
    <w:p>
      <w:pPr>
        <w:pStyle w:val="Normal"/>
        <w:numPr>
          <w:ilvl w:val="0"/>
          <w:numId w:val="8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az események a kommunikációs alrendszeren keresztül válnak elérhetővé a játékosok számára;</w:t>
      </w:r>
    </w:p>
    <w:p>
      <w:pPr>
        <w:pStyle w:val="Normal"/>
        <w:numPr>
          <w:ilvl w:val="0"/>
          <w:numId w:val="8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felhasználói felület visszajelzést ad a változásokról;</w:t>
      </w:r>
    </w:p>
    <w:p>
      <w:pPr>
        <w:pStyle w:val="Normal"/>
        <w:numPr>
          <w:ilvl w:val="0"/>
          <w:numId w:val="8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statisztikai adatokat közöl a felhasználókkal.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360" w:leader="none"/>
        </w:tabs>
        <w:spacing w:lineRule="auto" w:line="276" w:before="300" w:after="120"/>
        <w:ind w:hanging="357" w:left="357"/>
        <w:jc w:val="both"/>
        <w:rPr>
          <w:rFonts w:ascii="Arial" w:hAnsi="Arial" w:cs="Arial"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Hálózati és adattárolási elvárások</w:t>
      </w:r>
    </w:p>
    <w:p>
      <w:pPr>
        <w:pStyle w:val="Normal"/>
        <w:tabs>
          <w:tab w:val="clear" w:pos="708"/>
          <w:tab w:val="left" w:pos="360" w:leader="none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rendszerrel kapcsolatos legfontosabb hálózati és adattárolási elvárások a következők: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lokális többjátékos módra fókuszál;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statisztikai adatok alkalmasak a játékmenet elemzéséhez és a győztes meghatározásához;</w:t>
      </w:r>
    </w:p>
    <w:p>
      <w:pPr>
        <w:pStyle w:val="Normal"/>
        <w:numPr>
          <w:ilvl w:val="0"/>
          <w:numId w:val="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játékállapot visszatöltésének lehetővé tétele.</w:t>
      </w:r>
    </w:p>
    <w:p>
      <w:pPr>
        <w:pStyle w:val="Heading3"/>
        <w:rPr/>
      </w:pPr>
      <w:r>
        <w:rPr/>
        <w:t>Funkciók</w:t>
      </w:r>
    </w:p>
    <w:p>
      <w:pPr>
        <w:pStyle w:val="magyarazat"/>
        <w:rPr/>
      </w:pPr>
      <w:r>
        <w:rPr/>
        <w:t>[A feladat kb. 4000 karakteres (kb 1,5 oldal) részletezettségű magyar nyelvű leírása. Nem szerepelhetnek informatikai kifejezések.]</w:t>
      </w:r>
    </w:p>
    <w:p>
      <w:pPr>
        <w:pStyle w:val="Normal"/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 felhasználók két szerepkörben játszhatnak: gombászént vagy rovarászként. 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1. A játék alapvető működése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különböző méretű és formájú kéregdarabokon folyik, amelyek mozognak és időnként kettétörnek. A tektonok között rések találhatók.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2. A gombák természete</w:t>
      </w:r>
    </w:p>
    <w:p>
      <w:pPr>
        <w:pStyle w:val="Normal"/>
        <w:numPr>
          <w:ilvl w:val="0"/>
          <w:numId w:val="10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Gombatestek 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gombatestek spórákat termelnek, amelyek új fonalak növekedését segíthetik;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bizonyos körülmények között egy gombafonalból gombatest alakulhat ki;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egyes tektonokon nem nőhet gombatest;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gombatestek egy idő után elveszítik spóraszórási képességüket, majd elpusztulnak.</w:t>
      </w:r>
    </w:p>
    <w:p>
      <w:pPr>
        <w:pStyle w:val="Normal"/>
        <w:numPr>
          <w:ilvl w:val="0"/>
          <w:numId w:val="10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Gombafonalak 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gombák fonalakat növesztenek, amelyek a tektonokon ágaznak el;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egyes tektonokon több fonal is növekedhet, míg másokon csak egyetlen fonal lehet jelen;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tektontörés a törésvonal mentén elszakítja a gombafonalakat;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egyes tektonokon a fonalak idővel felszívódnak;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gombatesttel való közvetlen kapcsolat nélkül a gombafonál elpusztul.</w:t>
      </w:r>
    </w:p>
    <w:p>
      <w:pPr>
        <w:pStyle w:val="Normal"/>
        <w:numPr>
          <w:ilvl w:val="0"/>
          <w:numId w:val="10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Spórák 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gombatestek időről-időre spórákat szórnak a szomszédos tektonokra. A fejlettebb gombatestek a szomszédos tektonok szomszédjaira is eljuttathatják a spórákat;</w:t>
      </w:r>
    </w:p>
    <w:p>
      <w:pPr>
        <w:pStyle w:val="Normal"/>
        <w:numPr>
          <w:ilvl w:val="1"/>
          <w:numId w:val="11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spórák segítik a fonalak növekedését és új gombatestek kialakulását.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3. A rovarok természete </w:t>
      </w:r>
    </w:p>
    <w:p>
      <w:pPr>
        <w:pStyle w:val="Normal"/>
        <w:numPr>
          <w:ilvl w:val="0"/>
          <w:numId w:val="12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Mozgás</w:t>
      </w:r>
    </w:p>
    <w:p>
      <w:pPr>
        <w:pStyle w:val="Normal"/>
        <w:numPr>
          <w:ilvl w:val="1"/>
          <w:numId w:val="9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rovarok gombafonalak mentén képesek haladni.</w:t>
      </w:r>
    </w:p>
    <w:p>
      <w:pPr>
        <w:pStyle w:val="Normal"/>
        <w:numPr>
          <w:ilvl w:val="0"/>
          <w:numId w:val="12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Gombafonalak elvágása</w:t>
      </w:r>
    </w:p>
    <w:p>
      <w:pPr>
        <w:pStyle w:val="Normal"/>
        <w:numPr>
          <w:ilvl w:val="1"/>
          <w:numId w:val="9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 elvághatja a gombafonalat.</w:t>
      </w: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0"/>
          <w:numId w:val="12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Táplálkozás</w:t>
      </w:r>
    </w:p>
    <w:p>
      <w:pPr>
        <w:pStyle w:val="Normal"/>
        <w:numPr>
          <w:ilvl w:val="1"/>
          <w:numId w:val="9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rovarok a tektonokon szétszórt spórákat fogyasztják;</w:t>
      </w:r>
    </w:p>
    <w:p>
      <w:pPr>
        <w:pStyle w:val="Normal"/>
        <w:numPr>
          <w:ilvl w:val="1"/>
          <w:numId w:val="9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>
      <w:pPr>
        <w:pStyle w:val="Heading3"/>
        <w:rPr/>
      </w:pPr>
      <w:r>
        <w:rPr/>
        <w:t>Felhasználók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>
      <w:pPr>
        <w:pStyle w:val="Normal"/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játékban két felhasználói szerepkör létezik: gombász és rovarász.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1. Gombászok </w:t>
      </w:r>
    </w:p>
    <w:p>
      <w:pPr>
        <w:pStyle w:val="Normal"/>
        <w:spacing w:lineRule="auto" w:line="276" w:before="120" w:after="120"/>
        <w:jc w:val="both"/>
        <w:rPr/>
      </w:pPr>
      <w:r>
        <w:rPr>
          <w:rFonts w:cs="Arial" w:ascii="Arial" w:hAnsi="Arial"/>
        </w:rPr>
        <w:t>A gombászok számára a siker kulcsa a gombatestek megtervezett növesztése a gombafonalak és a spórák segítségével, amelynek keretében a játékos: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dönt arról, hogy a fonalak merre növekedjenek tovább;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meghatározza, mikor és hol fejlődjön új gombatest;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eldönti, hogy a gombatestek mikor szórják a spóráikat;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2. Rovarászok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rovarászok számára a siker kulcsa a rovarok mozgásának optimalizálása, a spórák elfogyasztása és a gombák terjedésének manipulálása, amelynek keretében a játékos: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meghatározza, hogy a rovarok merre haladjanak;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eldönti, hogy egy adott rovar elvágjon-e egy gombafonalat, amivel akadályozhatja a gombák terjedését;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figyel a különböző spórák eltérő hatásaira, mivel egyesek gyorsíthatják vagy béníthatják is a rovarokat;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kihasználja, hogy a rovarok csak a gombafonalakat követve tudnak mozogni, és ennek megfelelően tereli őket;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megtervezi, hogy mikor és hol fogyasszanak spórát a rovarok.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3. A játékosok interakciói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gombászok és rovarászok közvetetten befolyásolják egymás stratégiáját, mivel: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gombászok spórák szórásáról és fonalak növesztéséről döntenek, ami a rovarok mozgására hatással vannak;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rovarászok irányítják a rovarokat, amelyek megehetik a spórákat, így csökkentve a gombák terjedését;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rovarászok elvághatják a fonalakat, hogy megállítsák a gombák terjedését;</w:t>
      </w:r>
    </w:p>
    <w:p>
      <w:pPr>
        <w:pStyle w:val="Normal"/>
        <w:numPr>
          <w:ilvl w:val="0"/>
          <w:numId w:val="14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rovarok mozgása a tektonok elmozdulása miatt is módosulhat.</w:t>
      </w:r>
    </w:p>
    <w:p>
      <w:pPr>
        <w:pStyle w:val="Normal"/>
        <w:spacing w:lineRule="auto" w:line="276" w:before="120" w:after="120"/>
        <w:jc w:val="both"/>
        <w:rPr/>
      </w:pPr>
      <w:r>
        <w:rPr>
          <w:rFonts w:cs="Arial" w:ascii="Arial" w:hAnsi="Arial"/>
        </w:rPr>
        <w:t>A játékosok folyamatosan reagálnak egymás lépéseire, így a játék dinamikusan változó állapotokkal operál.</w:t>
      </w:r>
    </w:p>
    <w:p>
      <w:pPr>
        <w:pStyle w:val="Normal"/>
        <w:spacing w:lineRule="auto" w:line="276" w:before="300" w:after="1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4. A győzelem feltételei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előre meghatározott időtartamig tart, és a győztes az alábbiak szerint kerül meghatározásra:</w:t>
      </w:r>
    </w:p>
    <w:p>
      <w:pPr>
        <w:pStyle w:val="Normal"/>
        <w:numPr>
          <w:ilvl w:val="0"/>
          <w:numId w:val="13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gombászok közül az nyer, akinek a legtöbb gombatestje fejlődött ki a játék végére, beleértve azokat is, amelyek időközben elpusztultak;</w:t>
      </w:r>
    </w:p>
    <w:p>
      <w:pPr>
        <w:pStyle w:val="Normal"/>
        <w:numPr>
          <w:ilvl w:val="0"/>
          <w:numId w:val="13"/>
        </w:numPr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i/>
          <w:color w:val="0000FF"/>
        </w:rPr>
        <w:t>a rovarászok közül az nyer, aki a legtöbb tápanyagot gyűjtötte össze a rovarok által elfogyasztott spórák révén.</w:t>
      </w:r>
    </w:p>
    <w:p>
      <w:pPr>
        <w:pStyle w:val="Heading3"/>
        <w:rPr/>
      </w:pPr>
      <w:r>
        <w:rPr/>
        <w:t>Korlátozások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Az elkészítendő szoftverre az alábbi korlátozások vonatkoznak:</w:t>
      </w:r>
    </w:p>
    <w:p>
      <w:pPr>
        <w:pStyle w:val="Normal"/>
        <w:numPr>
          <w:ilvl w:val="0"/>
          <w:numId w:val="15"/>
        </w:numPr>
        <w:spacing w:lineRule="auto" w:line="276" w:before="12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Rendszerbeli korlátozások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kizárólag lokálisan futtatható, távoli hálózati kapcsolat nem biztosított.</w:t>
      </w:r>
    </w:p>
    <w:p>
      <w:pPr>
        <w:pStyle w:val="Normal"/>
        <w:numPr>
          <w:ilvl w:val="0"/>
          <w:numId w:val="15"/>
        </w:numPr>
        <w:spacing w:lineRule="auto" w:line="276" w:before="12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Technikai korlátozások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megjelenítési alrendszer nem használ 3D grafikát;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játékállapot és a statisztikák mentéséhez külső szerverkapcsolat nem szükséges.</w:t>
      </w:r>
    </w:p>
    <w:p>
      <w:pPr>
        <w:pStyle w:val="Normal"/>
        <w:numPr>
          <w:ilvl w:val="0"/>
          <w:numId w:val="15"/>
        </w:numPr>
        <w:spacing w:lineRule="auto" w:line="276" w:before="12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Játékmechanikai korlátozások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egy előre meghatározott időkeretben fut, amely után automatikusan kiértékelésre kerül az eredmény;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játék egyensúlyának fenntartása érdekében limitált a rovarok és a gombák maximális száma;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minden gombatest egy meghatározott számú spóraszórás után automatikusan elpusztul;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gombatest fejlettségi szintje az élettartamának kezdetétől eltelt idő függvénye;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térképen egyidejűleg csak egy meghatározott számú tekton lehet jelen;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tektonok törése nem hozhat létre túl kicsi területeket.</w:t>
      </w:r>
    </w:p>
    <w:p>
      <w:pPr>
        <w:pStyle w:val="Normal"/>
        <w:numPr>
          <w:ilvl w:val="0"/>
          <w:numId w:val="15"/>
        </w:numPr>
        <w:spacing w:lineRule="auto" w:line="276" w:before="12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Felhasználói élményre vonatkozó korlátozások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kezelőfelület egyszerű és könnyen átlátható, nem tartalmaz feleslegesen bonyolult beállításokat;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a felhasználó egyértelmű visszacsatolást kap döntései következményeiről.</w:t>
      </w:r>
    </w:p>
    <w:p>
      <w:pPr>
        <w:pStyle w:val="Normal"/>
        <w:numPr>
          <w:ilvl w:val="0"/>
          <w:numId w:val="15"/>
        </w:numPr>
        <w:spacing w:lineRule="auto" w:line="276" w:before="120" w:after="1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Fejlesztési korlátozások</w:t>
      </w:r>
    </w:p>
    <w:p>
      <w:pPr>
        <w:pStyle w:val="Normal"/>
        <w:numPr>
          <w:ilvl w:val="1"/>
          <w:numId w:val="9"/>
        </w:numPr>
        <w:tabs>
          <w:tab w:val="clear" w:pos="708"/>
          <w:tab w:val="left" w:pos="720" w:leader="none"/>
        </w:tabs>
        <w:spacing w:lineRule="auto" w:line="276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i/>
          <w:color w:val="0000FF"/>
        </w:rPr>
        <w:t>a szoftver Java nyelven készül az objektumorientált tervezés elveit követve.</w:t>
      </w:r>
    </w:p>
    <w:p>
      <w:pPr>
        <w:pStyle w:val="Heading3"/>
        <w:rPr/>
      </w:pPr>
      <w:r>
        <w:rPr/>
        <w:t>Feltételezések, kapcsolatok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spacing w:lineRule="auto" w:line="276" w:before="120" w:after="240"/>
        <w:jc w:val="center"/>
        <w:rPr>
          <w:rFonts w:ascii="Arial" w:hAnsi="Arial" w:cs="Arial"/>
        </w:rPr>
      </w:pPr>
      <w:r>
        <w:rPr>
          <w:rFonts w:cs="Arial" w:ascii="Arial" w:hAnsi="Arial"/>
          <w:highlight w:val="yellow"/>
        </w:rPr>
        <w:t>A DOKUMENTUM ELKÉSZÜLTÉVEL VÉGLEGESÍTENDŐ!</w:t>
      </w:r>
    </w:p>
    <w:p>
      <w:pPr>
        <w:pStyle w:val="Normal"/>
        <w:spacing w:lineRule="auto" w:line="276" w:before="120" w:after="12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Sztem azért a tantárgyi honlapokat érdemes lenne feltüntetni:</w:t>
      </w:r>
    </w:p>
    <w:p>
      <w:pPr>
        <w:pStyle w:val="Normal"/>
        <w:numPr>
          <w:ilvl w:val="0"/>
          <w:numId w:val="16"/>
        </w:numPr>
        <w:spacing w:lineRule="auto" w:line="276" w:before="120" w:after="120"/>
        <w:jc w:val="both"/>
        <w:rPr>
          <w:rFonts w:ascii="Arial" w:hAnsi="Arial" w:cs="Arial"/>
          <w:highlight w:val="yellow"/>
        </w:rPr>
      </w:pPr>
      <w:hyperlink r:id="rId2">
        <w:r>
          <w:rPr>
            <w:rStyle w:val="Hyperlink"/>
            <w:rFonts w:cs="Arial" w:ascii="Arial" w:hAnsi="Arial"/>
            <w:highlight w:val="yellow"/>
          </w:rPr>
          <w:t>https://www.iit.bme.hu/file/11582/feladat</w:t>
        </w:r>
      </w:hyperlink>
    </w:p>
    <w:p>
      <w:pPr>
        <w:pStyle w:val="Normal"/>
        <w:numPr>
          <w:ilvl w:val="0"/>
          <w:numId w:val="16"/>
        </w:numPr>
        <w:spacing w:lineRule="auto" w:line="276" w:before="120" w:after="120"/>
        <w:jc w:val="both"/>
        <w:rPr>
          <w:rFonts w:ascii="Arial" w:hAnsi="Arial" w:cs="Arial"/>
          <w:highlight w:val="yellow"/>
        </w:rPr>
      </w:pPr>
      <w:hyperlink r:id="rId3">
        <w:r>
          <w:rPr>
            <w:rStyle w:val="Hyperlink"/>
            <w:rFonts w:cs="Arial" w:ascii="Arial" w:hAnsi="Arial"/>
            <w:i/>
            <w:highlight w:val="yellow"/>
          </w:rPr>
          <w:t>https://www.iit.bme.hu/targyak/BMEVIIIAB02</w:t>
        </w:r>
      </w:hyperlink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Követelmények</w:t>
      </w:r>
    </w:p>
    <w:p>
      <w:pPr>
        <w:pStyle w:val="Heading3"/>
        <w:rPr/>
      </w:pPr>
      <w:r>
        <w:rPr/>
        <w:t>Funkcionális követelmények</w:t>
      </w:r>
    </w:p>
    <w:p>
      <w:pPr>
        <w:pStyle w:val="magyarazat"/>
        <w:rPr/>
      </w:pPr>
      <w:r>
        <w:rPr/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>
      <w:pPr>
        <w:pStyle w:val="magyarazat"/>
        <w:rPr/>
      </w:pPr>
      <w:r>
        <w:rPr/>
        <w:t>A táblázatban egy bankautomatás példa szerepel.]</w:t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1561"/>
        <w:gridCol w:w="1636"/>
        <w:gridCol w:w="914"/>
        <w:gridCol w:w="1560"/>
        <w:gridCol w:w="1628"/>
        <w:gridCol w:w="747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Azono</w:t>
              <w:softHyphen/>
              <w:t>sí</w:t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Prio</w:t>
              <w:softHyphen/>
              <w:t>ri</w:t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Use-case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Kom</w:t>
              <w:softHyphen/>
              <w:t>ment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  <w:t>ATM egyenleg lekérdezésekor ellenőrzi a bankkártyát és a pinkódot.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  <w:t>ATM-be berakunk egy bankkártyát és egyenleglekérdezést kez</w:t>
              <w:softHyphen/>
              <w:t>de</w:t>
              <w:softHyphen/>
              <w:t>mé</w:t>
              <w:softHyphen/>
              <w:t>nye</w:t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  <w:t>Egyenleglekérdezés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magyarazat"/>
              <w:rPr/>
            </w:pPr>
            <w:r>
              <w:rPr/>
            </w:r>
          </w:p>
        </w:tc>
      </w:tr>
    </w:tbl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Heading3"/>
        <w:rPr/>
      </w:pPr>
      <w:r>
        <w:rPr/>
        <w:t>Erőforrásokkal kapcsolatos követelmények</w:t>
      </w:r>
    </w:p>
    <w:p>
      <w:pPr>
        <w:pStyle w:val="magyarazat"/>
        <w:rPr/>
      </w:pPr>
      <w:r>
        <w:rPr/>
        <w:t>[A szoftver fejlesztésével és használatával kapcsolatos számítógépes, hardveres, alapszoftveres és egyéb architekturális és logisztikai követelmények]</w:t>
      </w:r>
    </w:p>
    <w:tbl>
      <w:tblPr>
        <w:tblW w:w="8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0"/>
        <w:gridCol w:w="1302"/>
        <w:gridCol w:w="1448"/>
        <w:gridCol w:w="1122"/>
        <w:gridCol w:w="1318"/>
        <w:gridCol w:w="1433"/>
      </w:tblGrid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Komment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</w:tr>
    </w:tbl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Heading3"/>
        <w:rPr/>
      </w:pPr>
      <w:r>
        <w:rPr/>
        <w:t>Átadással kapcsolatos követelmények</w:t>
      </w:r>
    </w:p>
    <w:p>
      <w:pPr>
        <w:pStyle w:val="magyarazat"/>
        <w:rPr/>
      </w:pPr>
      <w:r>
        <w:rPr/>
        <w:t>[A szoftver átadásával, telepítésével, üzembe helyezésével kapcsolatos követelmények]</w:t>
      </w:r>
    </w:p>
    <w:tbl>
      <w:tblPr>
        <w:tblW w:w="8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0"/>
        <w:gridCol w:w="1302"/>
        <w:gridCol w:w="1448"/>
        <w:gridCol w:w="1122"/>
        <w:gridCol w:w="1318"/>
        <w:gridCol w:w="1433"/>
      </w:tblGrid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Komment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</w:tr>
    </w:tbl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Heading3"/>
        <w:rPr/>
      </w:pPr>
      <w:r>
        <w:rPr/>
        <w:t>Egyéb nem funkcionális követelmények</w:t>
      </w:r>
    </w:p>
    <w:p>
      <w:pPr>
        <w:pStyle w:val="magyarazat"/>
        <w:rPr/>
      </w:pPr>
      <w:r>
        <w:rPr/>
        <w:t>[A biztonsággal, hordozhatósággal, megbízhatósággal, tesztelhetőséggel, a felhasználóval kapcsolatos követelmények]</w:t>
      </w:r>
    </w:p>
    <w:tbl>
      <w:tblPr>
        <w:tblW w:w="8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0"/>
        <w:gridCol w:w="1302"/>
        <w:gridCol w:w="1448"/>
        <w:gridCol w:w="1122"/>
        <w:gridCol w:w="1318"/>
        <w:gridCol w:w="1433"/>
      </w:tblGrid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>
                <w:b/>
                <w:i w:val="false"/>
                <w:i w:val="false"/>
                <w:color w:val="auto"/>
              </w:rPr>
            </w:pPr>
            <w:r>
              <w:rPr>
                <w:b/>
                <w:i w:val="false"/>
                <w:color w:val="auto"/>
              </w:rPr>
              <w:t>Komment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agyarazat"/>
              <w:rPr/>
            </w:pPr>
            <w:r>
              <w:rPr/>
            </w:r>
          </w:p>
        </w:tc>
      </w:tr>
    </w:tbl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Heading2"/>
        <w:rPr/>
      </w:pPr>
      <w:r>
        <w:rPr/>
        <w:t>Lényeges use-case-ek</w:t>
      </w:r>
    </w:p>
    <w:p>
      <w:pPr>
        <w:pStyle w:val="magyarazat"/>
        <w:rPr/>
      </w:pPr>
      <w:r>
        <w:rPr/>
        <w:t>[A 2.3.1-ben felsorolt követelmények közül az alapvető és fontos követelményekhez tartozó használati esetek megadása az alábbi táblázatos formában.]</w:t>
      </w:r>
    </w:p>
    <w:p>
      <w:pPr>
        <w:pStyle w:val="Heading3"/>
        <w:rPr/>
      </w:pPr>
      <w:r>
        <w:rPr/>
        <w:t>Use-case leírások</w:t>
      </w:r>
    </w:p>
    <w:p>
      <w:pPr>
        <w:pStyle w:val="magyarazat"/>
        <w:rPr/>
      </w:pPr>
      <w:r>
        <w:rPr/>
        <w:t>[Minden use-case-hez külön]</w:t>
      </w:r>
    </w:p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4"/>
        <w:gridCol w:w="6178"/>
      </w:tblGrid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7" w:hRule="atLeast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  <w:t>Use-case diagram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Szótár</w:t>
      </w:r>
    </w:p>
    <w:p>
      <w:pPr>
        <w:pStyle w:val="magyarazat"/>
        <w:rPr/>
      </w:pPr>
      <w:r>
        <w:rPr/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>
      <w:pPr>
        <w:pStyle w:val="Heading2"/>
        <w:rPr/>
      </w:pPr>
      <w:r>
        <w:rPr/>
        <w:t>Projekt terv</w:t>
      </w:r>
    </w:p>
    <w:p>
      <w:pPr>
        <w:pStyle w:val="Normal"/>
        <w:rPr/>
      </w:pPr>
      <w:r>
        <w:rPr/>
        <w:t>2.1 – Guzmics – 02. 21. 23:59</w:t>
      </w:r>
    </w:p>
    <w:p>
      <w:pPr>
        <w:pStyle w:val="Normal"/>
        <w:rPr/>
      </w:pPr>
      <w:r>
        <w:rPr/>
        <w:t>2.2 – Taba – 02.18. 23:59</w:t>
      </w:r>
    </w:p>
    <w:p>
      <w:pPr>
        <w:pStyle w:val="Normal"/>
        <w:rPr/>
      </w:pPr>
      <w:r>
        <w:rPr/>
        <w:t>2.3 – Kohár – 02. 19. 23:59</w:t>
      </w:r>
    </w:p>
    <w:p>
      <w:pPr>
        <w:pStyle w:val="Normal"/>
        <w:rPr/>
      </w:pPr>
      <w:r>
        <w:rPr/>
        <w:t>2.4 – Rakos – 02. 21. 23:59</w:t>
      </w:r>
    </w:p>
    <w:p>
      <w:pPr>
        <w:pStyle w:val="Normal"/>
        <w:rPr/>
      </w:pPr>
      <w:r>
        <w:rPr/>
        <w:t>2.5 – Bencze – 02. 21. 23:59</w:t>
      </w:r>
    </w:p>
    <w:p>
      <w:pPr>
        <w:pStyle w:val="Normal"/>
        <w:rPr/>
      </w:pPr>
      <w:r>
        <w:rPr/>
        <w:t>2.6 – Kohár – 02. 21. 23:59</w:t>
      </w:r>
    </w:p>
    <w:p>
      <w:pPr>
        <w:pStyle w:val="Normal"/>
        <w:rPr/>
      </w:pPr>
      <w:r>
        <w:rPr/>
        <w:t>2.7 – Rakos – 02. 21. 23:59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 w:left="0" w:right="0"/>
        <w:rPr>
          <w:lang w:val="hu-HU"/>
        </w:rPr>
      </w:pPr>
      <w:r>
        <w:rPr>
          <w:lang w:val="hu-HU"/>
        </w:rPr>
        <w:t xml:space="preserve">A feladatok megkezdése előtt a terv fő pontjait egy közös megbeszélésen fektettük le. Ennek a pontos megfogalmazását Kohár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>
      <w:pPr>
        <w:pStyle w:val="Normal"/>
        <w:spacing w:lineRule="auto" w:line="240"/>
        <w:ind w:hanging="0" w:left="0" w:right="0"/>
        <w:rPr>
          <w:lang w:val="hu-HU"/>
        </w:rPr>
      </w:pPr>
      <w:r>
        <w:rPr>
          <w:lang w:val="hu-HU"/>
        </w:rPr>
        <w:t xml:space="preserve">Ezekután a következő fontos feladat a követelmények leírása, ez is hasonlóan fontos feladat, mivel a use-case leírások és szótár csak ezalapján elkészíthető. Ezt a feladatot Kohár fogja elvégezni, 2025. 02. 19. 23:59 határidővel. </w:t>
      </w:r>
    </w:p>
    <w:p>
      <w:pPr>
        <w:pStyle w:val="Normal"/>
        <w:spacing w:lineRule="auto" w:line="240"/>
        <w:ind w:hanging="0" w:left="0" w:right="0"/>
        <w:rPr>
          <w:lang w:val="hu-HU"/>
        </w:rPr>
      </w:pPr>
      <w:r>
        <w:rPr>
          <w:lang w:val="hu-HU"/>
        </w:rPr>
        <w:t>A maradék feladatokat el lehet párhuzamosan végezni, ezért a sorrendjüket nem definiálom. A bevezetést Guzmics fogja írni, határideje 2025. 02. 21. 23:59. A use-case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>
      <w:pPr>
        <w:pStyle w:val="Normal"/>
        <w:spacing w:lineRule="auto" w:line="240"/>
        <w:ind w:hanging="0" w:left="0" w:right="0"/>
        <w:rPr>
          <w:lang w:val="hu-HU"/>
        </w:rPr>
      </w:pPr>
      <w:r>
        <w:rPr>
          <w:lang w:val="hu-HU"/>
        </w:rPr>
        <w:t>Miután mindenki teljesítette a feladatait, a megoldásokat közösen egyeztetjük és átbeszéljük.</w:t>
      </w:r>
    </w:p>
    <w:p>
      <w:pPr>
        <w:pStyle w:val="Normal"/>
        <w:spacing w:lineRule="auto" w:line="240"/>
        <w:ind w:hanging="0" w:left="0" w:right="0"/>
        <w:rPr>
          <w:lang w:val="hu-HU"/>
        </w:rPr>
      </w:pPr>
      <w:r>
        <w:rPr>
          <w:lang w:val="hu-HU"/>
        </w:rPr>
        <w:t xml:space="preserve">A dokumentumok megosztását egy </w:t>
      </w:r>
      <w:hyperlink r:id="rId4">
        <w:r>
          <w:rPr>
            <w:rStyle w:val="Hyperlink"/>
            <w:color w:val="0000FF"/>
            <w:u w:val="single"/>
            <w:lang w:val="hu-HU"/>
          </w:rPr>
          <w:t>github repository</w:t>
        </w:r>
      </w:hyperlink>
      <w:r>
        <w:rPr>
          <w:lang w:val="hu-HU"/>
        </w:rPr>
        <w:t xml:space="preserve"> segítségével lesz elvégezve. Minden résztvevőnek a sablonból van egy saját példánya. Mindenki a munkáját az előbb említett dokumentumba végzi. Erre azért vagyunk rászorulva mivel a word fájlok szöveges tartalma nem emberileg olvashatóak, ezért az esetleges merge conflict-okat nem lehet rendesen kezelni. A feladat végén a dokumentumokat egy fő dokumentumban összefésüljük. Ezt a feladatot Kohár fogja teljesíteni, 2025 02. 23. 23:59 határidővel. A feladat feltöltését és fizikai beadását is szintén Kohár fogja végezni.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Napló</w:t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napló bejegyzésekből áll. Minden bejegyzésnek tartalmaznia kell:</w:t>
      </w:r>
    </w:p>
    <w:p>
      <w:pPr>
        <w:pStyle w:val="Normal"/>
        <w:numPr>
          <w:ilvl w:val="0"/>
          <w:numId w:val="3"/>
        </w:numPr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>
      <w:pPr>
        <w:pStyle w:val="Normal"/>
        <w:numPr>
          <w:ilvl w:val="0"/>
          <w:numId w:val="3"/>
        </w:numPr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>
      <w:pPr>
        <w:pStyle w:val="Normal"/>
        <w:numPr>
          <w:ilvl w:val="0"/>
          <w:numId w:val="3"/>
        </w:numPr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>
      <w:pPr>
        <w:pStyle w:val="Normal"/>
        <w:numPr>
          <w:ilvl w:val="0"/>
          <w:numId w:val="3"/>
        </w:numPr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>
      <w:pPr>
        <w:pStyle w:val="Normal"/>
        <w:rPr>
          <w:i/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</w:r>
    </w:p>
    <w:p>
      <w:pPr>
        <w:pStyle w:val="Normal"/>
        <w:rPr>
          <w:i/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2025.02.17. 16:45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Taba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Értekezlet: </w:t>
            </w:r>
            <w:r>
              <w:rPr/>
              <w:t>Feladatok beosztása, határidők eldöntése (Lásd 2.6 első bekezdése), projektel kapcsolatos kérdések összegzése</w:t>
            </w:r>
          </w:p>
        </w:tc>
      </w:tr>
      <w:tr>
        <w:trPr>
          <w:trHeight w:val="1123" w:hRule="atLeast"/>
        </w:trPr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  <w:r>
              <w:rPr>
                <w:lang w:val="en-US"/>
              </w:rPr>
              <w:t>025.02.18 10:00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lang w:val="hu-HU"/>
              </w:rPr>
              <w:t>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rPr/>
              <w:t xml:space="preserve"> c. dokumentum 2.2 pontját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25</w:t>
            </w:r>
            <w:r>
              <w:rPr/>
              <w:t>.0</w:t>
            </w:r>
            <w:r>
              <w:rPr/>
              <w:t>2</w:t>
            </w:r>
            <w:r>
              <w:rPr/>
              <w:t>.</w:t>
            </w:r>
            <w:r>
              <w:rPr/>
              <w:t>18</w:t>
            </w:r>
            <w:r>
              <w:rPr/>
              <w:t xml:space="preserve">. </w:t>
            </w:r>
            <w:r>
              <w:rPr/>
              <w:t>17:10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1,5</w:t>
            </w:r>
            <w:r>
              <w:rPr/>
              <w:t xml:space="preserve">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Tevékenység: </w:t>
            </w:r>
            <w:r>
              <w:rPr/>
              <w:t>Projekt terv vázlatos megvalósitása</w:t>
            </w:r>
          </w:p>
        </w:tc>
      </w:tr>
      <w:tr>
        <w:trPr>
          <w:trHeight w:val="1275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magyarazat"/>
        <w:rPr>
          <w:i/>
          <w:i/>
          <w:color w:val="0000FF"/>
          <w:lang w:val="hu-HU"/>
        </w:rPr>
      </w:pPr>
      <w:r>
        <w:rPr>
          <w:i/>
          <w:color w:val="0000FF"/>
          <w:lang w:val="hu-HU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ahoma"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2025-02-19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2.05pt;height:13.8pt;mso-wrap-distance-left:0pt;mso-wrap-distance-right:0pt;mso-wrap-distance-top:0pt;mso-wrap-distance-bottom:0pt;margin-top:0.05pt;mso-position-vertical-relative:text;margin-left:441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2025-02-19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2.05pt;height:13.8pt;mso-wrap-distance-left:0pt;mso-wrap-distance-right:0pt;mso-wrap-distance-top:0pt;mso-wrap-distance-bottom:0pt;margin-top:0.05pt;mso-position-vertical-relative:text;margin-left:441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2. Követelmény, projekt, funkcionalitás</w:t>
      <w:tab/>
      <w:tab/>
    </w:r>
    <w:r>
      <w:rPr>
        <w:i/>
        <w:color w:val="0000FF"/>
      </w:rPr>
      <w:t>bandits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2. Követelmény, projekt, funkcionalitás</w:t>
      <w:tab/>
      <w:tab/>
    </w:r>
    <w:r>
      <w:rPr>
        <w:i/>
        <w:color w:val="0000FF"/>
      </w:rPr>
      <w:t>bandits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/>
        <w:b/>
        <w:iCs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magyarazatChar" w:customStyle="1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yperlink">
    <w:name w:val="Hyperlink"/>
    <w:rsid w:val="00e60bc3"/>
    <w:rPr>
      <w:color w:val="0000FF"/>
      <w:u w:val="single"/>
    </w:rPr>
  </w:style>
  <w:style w:type="character" w:styleId="Cmsor2Char" w:customStyle="1">
    <w:name w:val="Címsor 2 Char"/>
    <w:link w:val="Heading2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link w:val="BalloonText"/>
    <w:qFormat/>
    <w:rsid w:val="005f7d35"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link w:val="magyarazatChar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rsid w:val="00112b4d"/>
    <w:pPr>
      <w:spacing w:beforeAutospacing="1" w:afterAutospacing="1"/>
    </w:pPr>
    <w:rPr/>
  </w:style>
  <w:style w:type="paragraph" w:styleId="Header">
    <w:name w:val="header"/>
    <w:basedOn w:val="Normal"/>
    <w:rsid w:val="00ca283e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5f7d35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it.bme.hu/file/11582/feladat" TargetMode="External"/><Relationship Id="rId3" Type="http://schemas.openxmlformats.org/officeDocument/2006/relationships/hyperlink" Target="https://www.iit.bme.hu/targyak/BMEVIIIAB02" TargetMode="External"/><Relationship Id="rId4" Type="http://schemas.openxmlformats.org/officeDocument/2006/relationships/hyperlink" Target="https://github.com/koharzsombor/bandITs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LibreOffice/24.8.4.2$Windows_X86_64 LibreOffice_project/bb3cfa12c7b1bf994ecc5649a80400d06cd71002</Application>
  <AppVersion>15.0000</AppVersion>
  <Pages>10</Pages>
  <Words>1970</Words>
  <Characters>13185</Characters>
  <CharactersWithSpaces>14829</CharactersWithSpaces>
  <Paragraphs>238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2025-02-14T22:38:00Z</dcterms:created>
  <dc:creator>Goldschmidt Balázs</dc:creator>
  <dc:description/>
  <dc:language>en-US</dc:language>
  <cp:lastModifiedBy/>
  <cp:lastPrinted>2018-02-09T09:19:00Z</cp:lastPrinted>
  <dcterms:modified xsi:type="dcterms:W3CDTF">2025-02-19T08:02:07Z</dcterms:modified>
  <cp:revision>33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