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Szkeleton tervezése</w:t>
      </w:r>
    </w:p>
    <w:p>
      <w:pPr>
        <w:pStyle w:val="Heading2"/>
        <w:rPr/>
      </w:pPr>
      <w:r>
        <w:rPr/>
        <w:t>A szkeleton modell valóságos use-case-ei</w:t>
      </w:r>
    </w:p>
    <w:p>
      <w:pPr>
        <w:pStyle w:val="magyarazat"/>
        <w:rPr/>
      </w:pPr>
      <w:r>
        <w:rPr/>
        <w:t>[A szkeletonnak, mint önálló programnak a működésével kapcsolatos use-case-ek. ]</w:t>
      </w:r>
    </w:p>
    <w:p>
      <w:pPr>
        <w:pStyle w:val="Heading3"/>
        <w:rPr/>
      </w:pPr>
      <w:r>
        <w:rPr/>
        <w:t>Use-case diagram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Use-case leírások</w:t>
      </w:r>
    </w:p>
    <w:p>
      <w:pPr>
        <w:pStyle w:val="magyarazat"/>
        <w:rPr/>
      </w:pPr>
      <w:r>
        <w:rPr/>
        <w:t>[Minden use-case-hez külön]</w:t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</w:t>
            </w:r>
            <w:r>
              <w:rPr/>
              <w:t>test</w:t>
            </w:r>
            <w:r>
              <w:rPr/>
              <w:t xml:space="preserve"> növesztés „</w:t>
            </w:r>
            <w:r>
              <w:rPr/>
              <w:t>Fertile</w:t>
            </w:r>
            <w:r>
              <w:rPr/>
              <w:t>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FertileTectonra. Amelyen már megvan a megfelelő mennyiségű spóra (3db) és van rajta gombafonál.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s2, s3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Meghivódik MB gombatest konstruktora amelyben paraméterként átadódik a T FertileTecton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>, amelyben paraméterként átadja T FertileTecton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>4. MBGE meghivja T FertileTectonon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FertileTecton </w:t>
            </w:r>
            <w:r>
              <w:rPr>
                <w:lang w:val="en-US"/>
              </w:rPr>
              <w:t>evaluate</w:t>
            </w:r>
            <w:r>
              <w:rPr/>
              <w:t>GrowMushroomBody() metódusa lefut és sikerrel tér vissza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6. A tekton levonja mag</w:t>
            </w:r>
            <w:r>
              <w:rPr>
                <w:lang w:val="hu-HU"/>
              </w:rPr>
              <w:t>ából a 3 spórát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7. A tekton sz</w:t>
            </w:r>
            <w:r>
              <w:rPr>
                <w:lang w:val="hu-HU"/>
              </w:rPr>
              <w:t>ól vissza az adott MB-nak, paramétere pedig a spórák számával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8</w:t>
            </w:r>
            <w:r>
              <w:rPr/>
              <w:t>.</w:t>
            </w:r>
            <w:r>
              <w:rPr/>
              <w:t>A MB grow(sporeCount: int) metódusa megivódik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=evaluateGrowMushroomBody()=&gt;grow(sporeCount)=&gt;MB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</w:t>
            </w:r>
            <w:r>
              <w:rPr>
                <w:lang w:val="en-US"/>
              </w:rPr>
              <w:t xml:space="preserve">Fertile” </w:t>
            </w:r>
            <w:r>
              <w:rPr>
                <w:lang w:val="hu-HU"/>
              </w:rPr>
              <w:t>típusú tektonra, amin már van gombatest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FertileTectonra. Amelyen már megvan a megfelelő mennyiségű spóra (3db) és van rajta gombafonál, </w:t>
            </w:r>
            <w:r>
              <w:rPr/>
              <w:t>de van rajta már gombatest</w:t>
            </w:r>
            <w:r>
              <w:rPr/>
              <w:t xml:space="preserve"> 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s1, s2, s3 spórák a T tektonon találhatók és az M mycelium is ezen a T tektonon található </w:t>
            </w:r>
            <w:r>
              <w:rPr/>
              <w:t>a T tektonon található már gombatest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Meghivódik MB gombatest konstruktora amelyben paraméterként átadódik a T FertileTecton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>, amelyben paraméterként átadja T FertileTecton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>4. MBGE meghivja T FertileTectonon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FertileTecton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720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80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Gombatest </w:t>
            </w:r>
            <w:r>
              <w:rPr>
                <w:lang w:val="hu-HU"/>
              </w:rPr>
              <w:t>növesztése „</w:t>
            </w:r>
            <w:r>
              <w:rPr>
                <w:lang w:val="en-US"/>
              </w:rPr>
              <w:t xml:space="preserve">Fertile” </w:t>
            </w:r>
            <w:r>
              <w:rPr>
                <w:lang w:val="hu-HU"/>
              </w:rPr>
              <w:t>típusú tektonra, amin nincs elég spóra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 játékutasitás érkezik, hogy MB gombatest növekedjen a kiválasztott T FertileTectonra. Amelyen </w:t>
            </w:r>
            <w:r>
              <w:rPr/>
              <w:t>nincs</w:t>
            </w:r>
            <w:r>
              <w:rPr/>
              <w:t xml:space="preserve"> megfelelő mennyiségű spóra (&lt;3db) és van rajta gombafonál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s1, s2 spórák a T tektonon találhatók és az M mycelium is ezen a T tektonon található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Meghivódik MB gombatest konstruktora amelyben paraméterként átadódik a T FertileTecton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5.4.4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1. A tesztelő meghivja MB </w:t>
            </w:r>
            <w:r>
              <w:rPr>
                <w:lang w:val="en-US"/>
              </w:rPr>
              <w:t>konstruktorat</w:t>
            </w:r>
            <w:r>
              <w:rPr/>
              <w:t>, amelyben paraméterként átadja T FertileTecton mint céltekton</w:t>
            </w:r>
          </w:p>
          <w:p>
            <w:pPr>
              <w:pStyle w:val="Normal"/>
              <w:rPr/>
            </w:pPr>
            <w:r>
              <w:rPr/>
              <w:t>2. MB gombatest meghivja MBGE MushroomBodyGrowthEvaluator konstruktorát</w:t>
            </w:r>
          </w:p>
          <w:p>
            <w:pPr>
              <w:pStyle w:val="Normal"/>
              <w:rPr/>
            </w:pPr>
            <w:r>
              <w:rPr/>
              <w:t>3. MB gombatest meghivja MBGE visit(T) metódusát</w:t>
            </w:r>
          </w:p>
          <w:p>
            <w:pPr>
              <w:pStyle w:val="Normal"/>
              <w:rPr/>
            </w:pPr>
            <w:r>
              <w:rPr/>
              <w:t>4. MBGE meghivja T FertileTectonon az accept(mbge, mb) metodust</w:t>
            </w:r>
          </w:p>
          <w:p>
            <w:pPr>
              <w:pStyle w:val="Normal"/>
              <w:rPr/>
            </w:pPr>
            <w:r>
              <w:rPr/>
              <w:t xml:space="preserve">5. A T FertileTecton </w:t>
            </w:r>
            <w:r>
              <w:rPr>
                <w:lang w:val="en-US"/>
              </w:rPr>
              <w:t>evaluate</w:t>
            </w:r>
            <w:r>
              <w:rPr/>
              <w:t xml:space="preserve">GrowMushroomBody() metódusa lefut és </w:t>
            </w:r>
            <w:r>
              <w:rPr/>
              <w:t>nem sikerültel tér vissza</w:t>
            </w:r>
          </w:p>
        </w:tc>
      </w:tr>
      <w:tr>
        <w:trPr>
          <w:trHeight w:val="313" w:hRule="atLeast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=Create(MB)=&gt;</w:t>
            </w: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</w:t>
            </w:r>
            <w:r>
              <w:rPr/>
              <w:t>:MushroomBody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=Create(MB)=&gt;</w:t>
            </w: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=visit(T)=&gt;</w:t>
            </w:r>
            <w:r>
              <w:rPr>
                <w:lang w:val="en-US"/>
              </w:rPr>
              <w:t>MBGE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MBGE</w:t>
            </w:r>
            <w:r>
              <w:rPr>
                <w:lang w:val="en-US"/>
              </w:rPr>
              <w:t>:MushroomBodyGrowthEvaluator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=accept(</w:t>
            </w:r>
            <w:r>
              <w:rPr>
                <w:lang w:val="en-US"/>
              </w:rPr>
              <w:t>BMGE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MB</w:t>
            </w:r>
            <w:r>
              <w:rPr>
                <w:lang w:val="en-US"/>
              </w:rPr>
              <w:t>)=&gt;T:FertileTecton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T:FertileTecton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=evaluateGrowMushroomBody()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gombafonál növesztés „Arid”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gombafonál növesztés „MultiLayered”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ellenőrzi, hogy alkalmas-e a MultiLayered tecton a mycelium növekedéshez, és ha igen, akkor a gombafonal növekedése megtörténik a mycelium növekedési szabályainak megfelelően.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rendszerben létezik egy MultiLayered típusú tecton, amelynek még nincs myceliuma. A mycelium növekedési feltételei adottak.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MultiLayered tecton objektum, mycelium objektum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tesztelő inicializálja a szimulációs környezetet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>
                <w:lang w:val="en-US"/>
              </w:rPr>
              <w:t>A rendszer l</w:t>
            </w:r>
            <w:r>
              <w:rPr/>
              <w:t>étrehozza a MultiLayeredTecton objektumot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>
                <w:lang w:val="en-US"/>
              </w:rPr>
              <w:t>A rendszer l</w:t>
            </w:r>
            <w:r>
              <w:rPr/>
              <w:t>étrehozza a szükséges Mycelium objektumot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A tesz</w:t>
            </w:r>
            <w:r>
              <w:rPr/>
              <w:t>telő meghivja a gombafonál konstruktorát</w:t>
            </w:r>
          </w:p>
          <w:p>
            <w:pPr>
              <w:pStyle w:val="Normal"/>
              <w:rPr/>
            </w:pPr>
            <w:r>
              <w:rPr/>
              <w:t>4. A MyceliumGrowthEvaluator értékeli a MultiLayeredTecton alkalmasságát a micélium növekedésére</w:t>
            </w:r>
          </w:p>
          <w:p>
            <w:pPr>
              <w:pStyle w:val="Normal"/>
              <w:rPr/>
            </w:pPr>
            <w:r>
              <w:rPr/>
              <w:t>5. Ha a feltételek megfelelőek, a micélium elkezd növekedni a MultiLayeredTecton struktúrában</w:t>
            </w:r>
          </w:p>
          <w:p>
            <w:pPr>
              <w:pStyle w:val="Normal"/>
              <w:rPr/>
            </w:pPr>
            <w:r>
              <w:rPr/>
              <w:t>6. A növekedés sebessége és mintázata a MultiLayeredTecton speciális tulajdonságaihoz igazodik</w:t>
            </w:r>
          </w:p>
          <w:p>
            <w:pPr>
              <w:pStyle w:val="Normal"/>
              <w:rPr/>
            </w:pPr>
            <w:r>
              <w:rPr/>
              <w:t>7. A rendszer frissíti a MultiLayeredTecton állapotát a micélium növekedésével</w:t>
            </w:r>
          </w:p>
          <w:p>
            <w:pPr>
              <w:pStyle w:val="Normal"/>
              <w:rPr/>
            </w:pPr>
            <w:r>
              <w:rPr/>
              <w:t>8. A tesztelő ellenőrzi a növekedés eredményét és mintázatát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gombafonál növesztés „MultiLayered”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megfelelő gombatest növesztés „Fertile”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Előfeltételnek nem megfelelő gombatest növesztés „Fertile” típusú tektonra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  <w:cantSplit w:val="true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Két tekton szomszédságának létezése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ellenőrzi, hogy két adott tekton(A és B tektonok) szomszédjaik-e egymásnak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Tesztelő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rendszerben létezik két tekton, melyek még nincsenek összekötve mint szomszédok.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tesztelő inicializálja a szimulációs környezetet</w:t>
            </w:r>
          </w:p>
          <w:p>
            <w:pPr>
              <w:pStyle w:val="Normal"/>
              <w:rPr/>
            </w:pPr>
            <w:r>
              <w:rPr/>
              <w:t>2. A rendszer létrehoz két tektont (ezek lehetnek bármilyen típusuak csak az absztakt osztaly nem)</w:t>
            </w:r>
          </w:p>
          <w:p>
            <w:pPr>
              <w:pStyle w:val="Normal"/>
              <w:rPr/>
            </w:pPr>
            <w:r>
              <w:rPr/>
              <w:t>3. A rendszer meghivja az A tekton addNeighbour(B) metódusát</w:t>
            </w:r>
          </w:p>
          <w:p>
            <w:pPr>
              <w:pStyle w:val="Normal"/>
              <w:rPr/>
            </w:pPr>
            <w:r>
              <w:rPr/>
              <w:t>4. A rendszer frissiti az A tekton neighbours listáját</w:t>
            </w:r>
          </w:p>
          <w:p>
            <w:pPr>
              <w:pStyle w:val="Normal"/>
              <w:rPr/>
            </w:pPr>
            <w:r>
              <w:rPr/>
              <w:t>5. A rendszer meghivja a B tekton addNeighbour(A) metódusát</w:t>
            </w:r>
          </w:p>
          <w:p>
            <w:pPr>
              <w:pStyle w:val="Normal"/>
              <w:rPr/>
            </w:pPr>
            <w:r>
              <w:rPr/>
              <w:t>6. A rendszer frissiti a B tekton neighbours listáját</w:t>
            </w:r>
          </w:p>
          <w:p>
            <w:pPr>
              <w:pStyle w:val="Normal"/>
              <w:rPr/>
            </w:pPr>
            <w:r>
              <w:rPr/>
              <w:t xml:space="preserve">7. </w:t>
            </w:r>
            <w:r>
              <w:rPr>
                <w:shd w:fill="FFFF00" w:val="clear"/>
              </w:rPr>
              <w:t>Itt kellene visszaadjon valami confirmation-t hogy tényleg be lettek rakva egymás listáiba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Kell meg egy tesztcase amikor arid tektonon lejar az ideje</w:t>
      </w:r>
    </w:p>
    <w:p>
      <w:pPr>
        <w:pStyle w:val="Heading2"/>
        <w:rPr/>
      </w:pPr>
      <w:r>
        <w:rPr/>
        <w:t>A szkeleton kezelői felületének terve, dialógusok</w:t>
      </w:r>
    </w:p>
    <w:p>
      <w:pPr>
        <w:pStyle w:val="magyarazat"/>
        <w:rPr/>
      </w:pPr>
      <w:r>
        <w:rPr/>
        <w:t>[A szkeleton által elfogadott bemenetek , valamint a szöveges konzolon megjelenő kimenetek. A kiemenet formátuma olyan kell legyen, ami alapján a működés összevethető a korábbi szekvencia-diagramokkal.]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Szekvencia diagramok a belső működésre</w:t>
      </w:r>
    </w:p>
    <w:p>
      <w:pPr>
        <w:pStyle w:val="magyarazat"/>
        <w:rPr/>
      </w:pPr>
      <w:r>
        <w:rPr/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>
      <w:pPr>
        <w:pStyle w:val="Heading2"/>
        <w:rPr/>
      </w:pPr>
      <w:r>
        <w:rPr/>
        <w:t>Kommunikációs diagramok</w:t>
      </w:r>
    </w:p>
    <w:p>
      <w:pPr>
        <w:pStyle w:val="magyarazat"/>
        <w:rPr/>
      </w:pPr>
      <w:r>
        <w:rPr/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5"/>
        <w:gridCol w:w="2214"/>
        <w:gridCol w:w="2213"/>
        <w:gridCol w:w="2963"/>
      </w:tblGrid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2025.03.11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45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Új követelmények átbeszélése és értelmezése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2025.03.12 .,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konzultáción elmondott problémák átbeszélése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2025.03.13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Konzultáción átbeszélt problémák megoldásainak átbeszélése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Osztálydiagram minden metódusának, tagváltozójának alapos átnézése és javítása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2025.03.13 ., 22:30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Szekvencia diagramok átrajzolása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2025.03.13 ., 22:30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Szekvencia diagramok átrajzolása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Állapotdiagramok átrajzolása a konzultáción megbeszélteknek megfelelően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Tegnap elkészített új szekvencia diagramok átbeszélése, javítása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Osztálydiagram javítása és kiegészítése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2025.03.14 ., 21:30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test-case-ekhez kapcsolódó kommunikációs diagrammok átbeszélése és mintadiagram létrehozása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Test-case-ek kiosztása, kommunikációs és szekvencia diagramok megrajzolására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megbeszélés alapján a beosztott test-casek komm. és szekv. diagramjainak megrajzolása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nyelv kidolgozása mely a console-on fog megjelenni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csoportmegbeszélés alapján kiosztott komm. és szekv. diagramok megrajzolása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kiosztott test-case-ek komm. és szekv. diagramok megrajzolása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2025.03.15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csoportmegbeszélés szerinti tesztesetek kidolgozása az ott elhangzottakna megfelelően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szekvencia és kommunikációs diagramok átbeszélése és a szöveges részek megírásának beosztása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 leírások készítése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 csoportmegbeszélés szerinti tesztesetek javítása, kiegészítése és véglegesítése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Test-case-ek leírásainak megírása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Test-case-ek szöveges megírása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Teljes megoldások átnézése esetleges javítások</w:t>
            </w:r>
          </w:p>
        </w:tc>
      </w:tr>
      <w:tr>
        <w:trPr/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2025.03.16 ., 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Kommunikációs és szekvencia diagramok befejezése és use-casek pontosítása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1.15pt;height:1.15pt;mso-wrap-distance-left:0pt;mso-wrap-distance-right:0pt;mso-wrap-distance-top:0pt;mso-wrap-distance-bottom:0pt;margin-top:0.05pt;mso-position-vertical-relative:text;margin-left:-50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2025-03-17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2025-03-17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color w:themeColor="text1" w:val="000000"/>
        <w:lang w:val="en-US"/>
      </w:rPr>
    </w:pPr>
    <w:r>
      <w:rPr/>
      <w:t>5. Szkeleton tervezése</w:t>
      <w:tab/>
      <w:tab/>
    </w:r>
    <w:r>
      <w:rPr>
        <w:iCs/>
        <w:color w:themeColor="text1" w:val="000000"/>
      </w:rPr>
      <w:t>bandITs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color w:themeColor="text1" w:val="000000"/>
        <w:lang w:val="en-US"/>
      </w:rPr>
    </w:pPr>
    <w:r>
      <w:rPr/>
      <w:t>5. Szkeleton tervezése</w:t>
      <w:tab/>
      <w:tab/>
    </w:r>
    <w:r>
      <w:rPr>
        <w:iCs/>
        <w:color w:themeColor="text1" w:val="000000"/>
      </w:rPr>
      <w:t>bandITs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4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alloonText"/>
    <w:qFormat/>
    <w:rsid w:val="00276742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b756c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276742"/>
    <w:pPr/>
    <w:rPr>
      <w:rFonts w:ascii="Tahoma" w:hAnsi="Tahoma" w:cs="Tahoma"/>
      <w:sz w:val="16"/>
      <w:szCs w:val="16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d4022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LibreOffice/24.8.5.2$Windows_X86_64 LibreOffice_project/fddf2685c70b461e7832239a0162a77216259f22</Application>
  <AppVersion>15.0000</AppVersion>
  <Pages>10</Pages>
  <Words>1425</Words>
  <Characters>10114</Characters>
  <CharactersWithSpaces>11205</CharactersWithSpaces>
  <Paragraphs>360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2010-01-21T15:00:00Z</dcterms:created>
  <dc:creator>Goldschmidt Balázs</dc:creator>
  <dc:description/>
  <dc:language>en-US</dc:language>
  <cp:lastModifiedBy/>
  <dcterms:modified xsi:type="dcterms:W3CDTF">2025-03-17T12:23:07Z</dcterms:modified>
  <cp:revision>30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