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4887F" w14:textId="77777777" w:rsidR="002D63D9" w:rsidRPr="002D63D9" w:rsidRDefault="002D63D9" w:rsidP="002D63D9">
      <w:pPr>
        <w:pStyle w:val="Title"/>
        <w:rPr>
          <w:rFonts w:ascii="Cambria" w:hAnsi="Cambria"/>
        </w:rPr>
      </w:pPr>
      <w:bookmarkStart w:id="0" w:name="_Toc415827818"/>
      <w:r w:rsidRPr="556DC2D1">
        <w:rPr>
          <w:rFonts w:ascii="Cambria" w:eastAsia="Cambria" w:hAnsi="Cambria" w:cs="Cambria"/>
        </w:rPr>
        <w:t>Tableau Basic Module</w:t>
      </w:r>
    </w:p>
    <w:p w14:paraId="47353260" w14:textId="6845958D" w:rsidR="002D63D9" w:rsidRPr="002D63D9" w:rsidRDefault="556DC2D1" w:rsidP="002D63D9">
      <w:pPr>
        <w:pStyle w:val="Title"/>
        <w:rPr>
          <w:rFonts w:ascii="Cambria" w:hAnsi="Cambria"/>
        </w:rPr>
      </w:pPr>
      <w:r w:rsidRPr="556DC2D1">
        <w:rPr>
          <w:rFonts w:ascii="Cambria" w:eastAsia="Cambria" w:hAnsi="Cambria" w:cs="Cambria"/>
        </w:rPr>
        <w:t>Topic 5: Basic Charts</w:t>
      </w:r>
    </w:p>
    <w:p w14:paraId="0FEC2E73" w14:textId="63B90C38" w:rsidR="00026CE7" w:rsidRDefault="556DC2D1" w:rsidP="00026CE7">
      <w:pPr>
        <w:spacing w:after="120"/>
        <w:rPr>
          <w:sz w:val="18"/>
        </w:rPr>
      </w:pPr>
      <w:r>
        <w:t xml:space="preserve">This class demonstration provides an overview of several of commonly used charts available in Tableau Students are encouraged to follow along and/or take notes on the provided Student Handout.  This topic uses </w:t>
      </w:r>
      <w:r w:rsidRPr="556DC2D1">
        <w:rPr>
          <w:b/>
          <w:bCs/>
        </w:rPr>
        <w:t>Global Superstore</w:t>
      </w:r>
      <w:r>
        <w:t>.</w:t>
      </w:r>
    </w:p>
    <w:p w14:paraId="1B8A9711" w14:textId="77971353" w:rsidR="002D63D9" w:rsidRPr="00026CE7" w:rsidRDefault="556DC2D1" w:rsidP="00026CE7">
      <w:pPr>
        <w:pStyle w:val="Heading2"/>
        <w:rPr>
          <w:rFonts w:ascii="Cambria" w:hAnsi="Cambria"/>
          <w:lang w:val="en-US"/>
        </w:rPr>
      </w:pPr>
      <w:r w:rsidRPr="556DC2D1">
        <w:rPr>
          <w:rFonts w:ascii="Cambria" w:eastAsia="Cambria" w:hAnsi="Cambria" w:cs="Cambria"/>
          <w:lang w:val="en-US"/>
        </w:rPr>
        <w:t>Bar Charts</w:t>
      </w:r>
    </w:p>
    <w:p w14:paraId="7C0BEC01" w14:textId="3F07203F" w:rsidR="002D63D9" w:rsidRDefault="556DC2D1" w:rsidP="002D63D9">
      <w:pPr>
        <w:rPr>
          <w:lang w:val="en-US"/>
        </w:rPr>
      </w:pPr>
      <w:r>
        <w:t>We have already created some bar charts, but now let’s dive more deeply into this very simple but very powerful chart type.</w:t>
      </w:r>
    </w:p>
    <w:p w14:paraId="355EBBBE" w14:textId="0A0A861D" w:rsidR="00842E49" w:rsidRDefault="556DC2D1" w:rsidP="00026CE7">
      <w:pPr>
        <w:rPr>
          <w:lang w:val="en-US"/>
        </w:rPr>
      </w:pPr>
      <w:r w:rsidRPr="556DC2D1">
        <w:rPr>
          <w:lang w:val="en-US"/>
        </w:rPr>
        <w:t xml:space="preserve">Let’s Analyze </w:t>
      </w:r>
      <w:r w:rsidRPr="556DC2D1">
        <w:rPr>
          <w:b/>
          <w:bCs/>
          <w:lang w:val="en-US"/>
        </w:rPr>
        <w:t>Sales</w:t>
      </w:r>
      <w:r w:rsidRPr="556DC2D1">
        <w:rPr>
          <w:lang w:val="en-US"/>
        </w:rPr>
        <w:t xml:space="preserve"> (double click) by </w:t>
      </w:r>
      <w:r w:rsidRPr="556DC2D1">
        <w:rPr>
          <w:b/>
          <w:bCs/>
          <w:lang w:val="en-US"/>
        </w:rPr>
        <w:t>Category</w:t>
      </w:r>
      <w:r w:rsidRPr="556DC2D1">
        <w:rPr>
          <w:lang w:val="en-US"/>
        </w:rPr>
        <w:t xml:space="preserve"> (double click) and drill down to </w:t>
      </w:r>
      <w:r w:rsidRPr="556DC2D1">
        <w:rPr>
          <w:b/>
          <w:bCs/>
          <w:lang w:val="en-US"/>
        </w:rPr>
        <w:t>Sub-Category</w:t>
      </w:r>
      <w:r w:rsidRPr="556DC2D1">
        <w:rPr>
          <w:lang w:val="en-US"/>
        </w:rPr>
        <w:t xml:space="preserve"> (drag to Columns, left of Category).</w:t>
      </w:r>
    </w:p>
    <w:p w14:paraId="3BB204B1" w14:textId="3664A0F0" w:rsidR="00026CE7" w:rsidRPr="00357E2F" w:rsidRDefault="556DC2D1" w:rsidP="00026CE7">
      <w:pPr>
        <w:rPr>
          <w:color w:val="538135" w:themeColor="accent6" w:themeShade="BF"/>
          <w:lang w:val="en-US"/>
        </w:rPr>
      </w:pPr>
      <w:r w:rsidRPr="556DC2D1">
        <w:rPr>
          <w:lang w:val="en-US"/>
        </w:rPr>
        <w:t xml:space="preserve">To make this easier to read let’s rotate it (click </w:t>
      </w:r>
      <w:r w:rsidRPr="556DC2D1">
        <w:rPr>
          <w:b/>
          <w:bCs/>
          <w:lang w:val="en-US"/>
        </w:rPr>
        <w:t>Swap</w:t>
      </w:r>
      <w:r w:rsidRPr="556DC2D1">
        <w:rPr>
          <w:lang w:val="en-US"/>
        </w:rPr>
        <w:t xml:space="preserve"> in the toolbar) and sort it (click </w:t>
      </w:r>
      <w:r w:rsidRPr="556DC2D1">
        <w:rPr>
          <w:b/>
          <w:bCs/>
          <w:lang w:val="en-US"/>
        </w:rPr>
        <w:t>Sort</w:t>
      </w:r>
      <w:r w:rsidRPr="556DC2D1">
        <w:rPr>
          <w:lang w:val="en-US"/>
        </w:rPr>
        <w:t xml:space="preserve"> icon).</w:t>
      </w:r>
    </w:p>
    <w:p w14:paraId="6AC1BEAD" w14:textId="4C766B7B" w:rsidR="00026CE7" w:rsidRDefault="556DC2D1" w:rsidP="00026CE7">
      <w:pPr>
        <w:rPr>
          <w:lang w:val="en-US"/>
        </w:rPr>
      </w:pPr>
      <w:r w:rsidRPr="556DC2D1">
        <w:rPr>
          <w:lang w:val="en-US"/>
        </w:rPr>
        <w:t>This gives me a very nice look at Sales (in just a few seconds!).  For example, Furniture (especially Chairs) seems to be selling well.  But what about Profits?</w:t>
      </w:r>
    </w:p>
    <w:p w14:paraId="3EB02CD4" w14:textId="2033546F" w:rsidR="00842E49" w:rsidRPr="00357E2F" w:rsidRDefault="556DC2D1" w:rsidP="00842E49">
      <w:pPr>
        <w:rPr>
          <w:color w:val="538135" w:themeColor="accent6" w:themeShade="BF"/>
          <w:lang w:val="en-US"/>
        </w:rPr>
      </w:pPr>
      <w:r w:rsidRPr="556DC2D1">
        <w:rPr>
          <w:lang w:val="en-US"/>
        </w:rPr>
        <w:t xml:space="preserve">Drag </w:t>
      </w:r>
      <w:r w:rsidRPr="556DC2D1">
        <w:rPr>
          <w:b/>
          <w:bCs/>
          <w:lang w:val="en-US"/>
        </w:rPr>
        <w:t>Profit</w:t>
      </w:r>
      <w:r w:rsidRPr="556DC2D1">
        <w:rPr>
          <w:lang w:val="en-US"/>
        </w:rPr>
        <w:t xml:space="preserve"> out so you get the “show me” cursor. Drop it and Tableau will use it on the Color shelf.  It’s clear that Tables are not profitable – and I’m selling lots of them!  Not good.  We can see that Tableau picked a red/green color scale because the numbers were positive and negative. However, since I remember what we learned about color blindness I will </w:t>
      </w:r>
      <w:r w:rsidRPr="556DC2D1">
        <w:rPr>
          <w:b/>
          <w:bCs/>
          <w:lang w:val="en-US"/>
        </w:rPr>
        <w:t>switch to orange-blue</w:t>
      </w:r>
      <w:r w:rsidRPr="556DC2D1">
        <w:rPr>
          <w:lang w:val="en-US"/>
        </w:rPr>
        <w:t xml:space="preserve"> diverging.  This probably has more pop anyway as a color scheme.</w:t>
      </w:r>
    </w:p>
    <w:p w14:paraId="00E6CB6C" w14:textId="4602AE79" w:rsidR="00842E49" w:rsidRDefault="556DC2D1" w:rsidP="00842E49">
      <w:pPr>
        <w:rPr>
          <w:lang w:val="en-US"/>
        </w:rPr>
      </w:pPr>
      <w:r w:rsidRPr="556DC2D1">
        <w:rPr>
          <w:lang w:val="en-US"/>
        </w:rPr>
        <w:t>Reminder: the Show Me pane provides other possibilities for visualizing the data I have selected – we can click a couple to see other options, but then let’s use the Back button to return to our bar chart.</w:t>
      </w:r>
    </w:p>
    <w:p w14:paraId="52F2AD68" w14:textId="35C94A0A" w:rsidR="001E40B9" w:rsidRPr="00357E2F" w:rsidRDefault="556DC2D1" w:rsidP="001E40B9">
      <w:pPr>
        <w:rPr>
          <w:lang w:val="en-US"/>
        </w:rPr>
      </w:pPr>
      <w:r w:rsidRPr="556DC2D1">
        <w:rPr>
          <w:lang w:val="en-US"/>
        </w:rPr>
        <w:t xml:space="preserve">Notice that Office Supplies has a number of smaller categories that are just cluttering up my analysis. This is a common issue in a dataset, and I don’t want to remove these small categories because they may be significant in aggregate.  Instead, let’s select them all (hold down CTRL and select the words) and clicking the paper clip to </w:t>
      </w:r>
      <w:r w:rsidRPr="556DC2D1">
        <w:rPr>
          <w:b/>
          <w:bCs/>
          <w:lang w:val="en-US"/>
        </w:rPr>
        <w:t>Group</w:t>
      </w:r>
      <w:r w:rsidRPr="556DC2D1">
        <w:rPr>
          <w:lang w:val="en-US"/>
        </w:rPr>
        <w:t xml:space="preserve"> them.  </w:t>
      </w:r>
      <w:r w:rsidRPr="556DC2D1">
        <w:rPr>
          <w:b/>
          <w:bCs/>
          <w:lang w:val="en-US"/>
        </w:rPr>
        <w:t>Right-click</w:t>
      </w:r>
      <w:r w:rsidRPr="556DC2D1">
        <w:rPr>
          <w:lang w:val="en-US"/>
        </w:rPr>
        <w:t xml:space="preserve"> and </w:t>
      </w:r>
      <w:r w:rsidRPr="556DC2D1">
        <w:rPr>
          <w:b/>
          <w:bCs/>
          <w:lang w:val="en-US"/>
        </w:rPr>
        <w:t>Edit Alias</w:t>
      </w:r>
      <w:r w:rsidRPr="556DC2D1">
        <w:rPr>
          <w:lang w:val="en-US"/>
        </w:rPr>
        <w:t xml:space="preserve"> to rename the group.</w:t>
      </w:r>
    </w:p>
    <w:p w14:paraId="53001A6D" w14:textId="65E853CC" w:rsidR="00842E49" w:rsidRPr="00B4467A" w:rsidRDefault="556DC2D1" w:rsidP="001E40B9">
      <w:pPr>
        <w:rPr>
          <w:lang w:val="en-US"/>
        </w:rPr>
      </w:pPr>
      <w:r w:rsidRPr="556DC2D1">
        <w:rPr>
          <w:lang w:val="en-US"/>
        </w:rPr>
        <w:t xml:space="preserve">It’s important to understand that this </w:t>
      </w:r>
      <w:r w:rsidRPr="556DC2D1">
        <w:rPr>
          <w:u w:val="single"/>
          <w:lang w:val="en-US"/>
        </w:rPr>
        <w:t>does not change</w:t>
      </w:r>
      <w:r w:rsidRPr="556DC2D1">
        <w:rPr>
          <w:lang w:val="en-US"/>
        </w:rPr>
        <w:t xml:space="preserve"> the underlying data – the original sub-categories are still there.  What this HAS done is created a new object (point it out in the dimensions pane).</w:t>
      </w:r>
    </w:p>
    <w:p w14:paraId="00001FF5" w14:textId="2E363BCA" w:rsidR="00B4467A" w:rsidRPr="00B4467A" w:rsidRDefault="556DC2D1" w:rsidP="00B4467A">
      <w:pPr>
        <w:rPr>
          <w:lang w:val="en-US"/>
        </w:rPr>
      </w:pPr>
      <w:r w:rsidRPr="556DC2D1">
        <w:rPr>
          <w:lang w:val="en-US"/>
        </w:rPr>
        <w:t xml:space="preserve">Now we see that there is a problem in Tables.  </w:t>
      </w:r>
      <w:r w:rsidRPr="556DC2D1">
        <w:rPr>
          <w:b/>
          <w:bCs/>
          <w:lang w:val="en-US"/>
        </w:rPr>
        <w:t>Right-click</w:t>
      </w:r>
      <w:r w:rsidRPr="556DC2D1">
        <w:rPr>
          <w:lang w:val="en-US"/>
        </w:rPr>
        <w:t xml:space="preserve"> Tables and select </w:t>
      </w:r>
      <w:proofErr w:type="gramStart"/>
      <w:r w:rsidRPr="556DC2D1">
        <w:rPr>
          <w:b/>
          <w:bCs/>
          <w:lang w:val="en-US"/>
        </w:rPr>
        <w:t>Keep</w:t>
      </w:r>
      <w:proofErr w:type="gramEnd"/>
      <w:r w:rsidRPr="556DC2D1">
        <w:rPr>
          <w:b/>
          <w:bCs/>
          <w:lang w:val="en-US"/>
        </w:rPr>
        <w:t xml:space="preserve"> Only</w:t>
      </w:r>
      <w:r w:rsidRPr="556DC2D1">
        <w:rPr>
          <w:lang w:val="en-US"/>
        </w:rPr>
        <w:t>.</w:t>
      </w:r>
    </w:p>
    <w:p w14:paraId="12CE849A" w14:textId="67EEAE29" w:rsidR="00787F5C" w:rsidRPr="00B4467A" w:rsidRDefault="546AA86C" w:rsidP="00B4467A">
      <w:pPr>
        <w:rPr>
          <w:lang w:val="en-US"/>
        </w:rPr>
      </w:pPr>
      <w:r w:rsidRPr="546AA86C">
        <w:rPr>
          <w:lang w:val="en-US"/>
        </w:rPr>
        <w:lastRenderedPageBreak/>
        <w:t xml:space="preserve">Now that we’re just looking at Tables, let’s drill all the way down to the Product level. Drag out the </w:t>
      </w:r>
      <w:r w:rsidRPr="546AA86C">
        <w:rPr>
          <w:b/>
          <w:bCs/>
          <w:lang w:val="en-US"/>
        </w:rPr>
        <w:t>Product Name</w:t>
      </w:r>
      <w:r w:rsidRPr="546AA86C">
        <w:rPr>
          <w:lang w:val="en-US"/>
        </w:rPr>
        <w:t xml:space="preserve"> to the </w:t>
      </w:r>
      <w:proofErr w:type="spellStart"/>
      <w:r w:rsidRPr="546AA86C">
        <w:rPr>
          <w:lang w:val="en-US"/>
        </w:rPr>
        <w:t>viz</w:t>
      </w:r>
      <w:proofErr w:type="spellEnd"/>
      <w:r w:rsidRPr="546AA86C">
        <w:rPr>
          <w:lang w:val="en-US"/>
        </w:rPr>
        <w:t xml:space="preserve"> and </w:t>
      </w:r>
      <w:r w:rsidRPr="546AA86C">
        <w:rPr>
          <w:b/>
          <w:bCs/>
          <w:lang w:val="en-US"/>
        </w:rPr>
        <w:t>Sort</w:t>
      </w:r>
      <w:r w:rsidRPr="546AA86C">
        <w:rPr>
          <w:lang w:val="en-US"/>
        </w:rPr>
        <w:t xml:space="preserve"> descending.</w:t>
      </w:r>
    </w:p>
    <w:p w14:paraId="13079311" w14:textId="08EB30CB" w:rsidR="00B4467A" w:rsidRPr="002D63D9" w:rsidRDefault="556DC2D1" w:rsidP="00B4467A">
      <w:pPr>
        <w:rPr>
          <w:lang w:val="en-US"/>
        </w:rPr>
      </w:pPr>
      <w:r w:rsidRPr="556DC2D1">
        <w:rPr>
          <w:lang w:val="en-US"/>
        </w:rPr>
        <w:t xml:space="preserve">Finally let’s look at the actual underlying data from our top selling product here. Click the first bar… </w:t>
      </w:r>
      <w:r w:rsidRPr="556DC2D1">
        <w:rPr>
          <w:b/>
          <w:bCs/>
          <w:lang w:val="en-US"/>
        </w:rPr>
        <w:t>View Data</w:t>
      </w:r>
      <w:r w:rsidRPr="556DC2D1">
        <w:rPr>
          <w:lang w:val="en-US"/>
        </w:rPr>
        <w:t xml:space="preserve">, </w:t>
      </w:r>
      <w:r w:rsidRPr="556DC2D1">
        <w:rPr>
          <w:b/>
          <w:bCs/>
          <w:lang w:val="en-US"/>
        </w:rPr>
        <w:t>Underlying</w:t>
      </w:r>
      <w:r w:rsidRPr="556DC2D1">
        <w:rPr>
          <w:lang w:val="en-US"/>
        </w:rPr>
        <w:t xml:space="preserve"> tab. And now I have a nice list of transactions that I might want to investigate.</w:t>
      </w:r>
    </w:p>
    <w:p w14:paraId="04994F6E" w14:textId="62F2402C" w:rsidR="00DB11AF" w:rsidRPr="00B4467A" w:rsidRDefault="00026CE7" w:rsidP="00B4467A">
      <w:pPr>
        <w:pStyle w:val="Heading2"/>
        <w:rPr>
          <w:rFonts w:ascii="Cambria" w:hAnsi="Cambria"/>
          <w:lang w:val="en-US"/>
        </w:rPr>
      </w:pPr>
      <w:bookmarkStart w:id="1" w:name="_Toc415827821"/>
      <w:bookmarkEnd w:id="0"/>
      <w:r w:rsidRPr="556DC2D1">
        <w:rPr>
          <w:rFonts w:ascii="Cambria" w:eastAsia="Cambria" w:hAnsi="Cambria" w:cs="Cambria"/>
          <w:lang w:val="en-US"/>
        </w:rPr>
        <w:t>Scatterplot</w:t>
      </w:r>
      <w:r w:rsidR="00B4467A" w:rsidRPr="556DC2D1">
        <w:rPr>
          <w:rFonts w:ascii="Cambria" w:eastAsia="Cambria" w:hAnsi="Cambria" w:cs="Cambria"/>
          <w:lang w:val="en-US"/>
        </w:rPr>
        <w:t>s</w:t>
      </w:r>
    </w:p>
    <w:p w14:paraId="123CFCEA" w14:textId="00F22190" w:rsidR="00C260F9" w:rsidRDefault="556DC2D1" w:rsidP="008C7AFB">
      <w:pPr>
        <w:pStyle w:val="Heading1"/>
        <w:rPr>
          <w:color w:val="auto"/>
          <w:sz w:val="22"/>
          <w:szCs w:val="22"/>
          <w:lang w:val="en-US"/>
        </w:rPr>
      </w:pPr>
      <w:r w:rsidRPr="556DC2D1">
        <w:rPr>
          <w:color w:val="auto"/>
          <w:sz w:val="22"/>
          <w:szCs w:val="22"/>
          <w:lang w:val="en-US"/>
        </w:rPr>
        <w:t xml:space="preserve">Scatterplots are a very easy and powerful way to visualize the relationships between numeric variables (Measures).  For example, I wonder if there is a relationship between </w:t>
      </w:r>
      <w:r w:rsidRPr="556DC2D1">
        <w:rPr>
          <w:b/>
          <w:bCs/>
          <w:color w:val="auto"/>
          <w:sz w:val="22"/>
          <w:szCs w:val="22"/>
          <w:lang w:val="en-US"/>
        </w:rPr>
        <w:t>Discount</w:t>
      </w:r>
      <w:r w:rsidRPr="556DC2D1">
        <w:rPr>
          <w:color w:val="auto"/>
          <w:sz w:val="22"/>
          <w:szCs w:val="22"/>
          <w:lang w:val="en-US"/>
        </w:rPr>
        <w:t xml:space="preserve"> and </w:t>
      </w:r>
      <w:r w:rsidRPr="556DC2D1">
        <w:rPr>
          <w:b/>
          <w:bCs/>
          <w:color w:val="auto"/>
          <w:sz w:val="22"/>
          <w:szCs w:val="22"/>
          <w:lang w:val="en-US"/>
        </w:rPr>
        <w:t>Profit</w:t>
      </w:r>
      <w:r w:rsidRPr="556DC2D1">
        <w:rPr>
          <w:color w:val="auto"/>
          <w:sz w:val="22"/>
          <w:szCs w:val="22"/>
          <w:lang w:val="en-US"/>
        </w:rPr>
        <w:t xml:space="preserve"> (seems like a reasonable possibility).  Let’s take a look by selecting those two fields and clicking </w:t>
      </w:r>
      <w:r w:rsidRPr="556DC2D1">
        <w:rPr>
          <w:b/>
          <w:bCs/>
          <w:color w:val="auto"/>
          <w:sz w:val="22"/>
          <w:szCs w:val="22"/>
          <w:lang w:val="en-US"/>
        </w:rPr>
        <w:t>Scatterplot</w:t>
      </w:r>
      <w:r w:rsidRPr="556DC2D1">
        <w:rPr>
          <w:color w:val="auto"/>
          <w:sz w:val="22"/>
          <w:szCs w:val="22"/>
          <w:lang w:val="en-US"/>
        </w:rPr>
        <w:t xml:space="preserve"> on the </w:t>
      </w:r>
      <w:r w:rsidRPr="556DC2D1">
        <w:rPr>
          <w:b/>
          <w:bCs/>
          <w:color w:val="auto"/>
          <w:sz w:val="22"/>
          <w:szCs w:val="22"/>
          <w:lang w:val="en-US"/>
        </w:rPr>
        <w:t>Show Me</w:t>
      </w:r>
      <w:r w:rsidRPr="556DC2D1">
        <w:rPr>
          <w:color w:val="auto"/>
          <w:sz w:val="22"/>
          <w:szCs w:val="22"/>
          <w:lang w:val="en-US"/>
        </w:rPr>
        <w:t xml:space="preserve"> menu.  Go to </w:t>
      </w:r>
      <w:r w:rsidRPr="556DC2D1">
        <w:rPr>
          <w:b/>
          <w:bCs/>
          <w:color w:val="auto"/>
          <w:sz w:val="22"/>
          <w:szCs w:val="22"/>
          <w:lang w:val="en-US"/>
        </w:rPr>
        <w:t>Analysis</w:t>
      </w:r>
      <w:r w:rsidRPr="556DC2D1">
        <w:rPr>
          <w:color w:val="auto"/>
          <w:sz w:val="22"/>
          <w:szCs w:val="22"/>
          <w:lang w:val="en-US"/>
        </w:rPr>
        <w:t xml:space="preserve">, </w:t>
      </w:r>
      <w:r w:rsidRPr="556DC2D1">
        <w:rPr>
          <w:b/>
          <w:bCs/>
          <w:color w:val="auto"/>
          <w:sz w:val="22"/>
          <w:szCs w:val="22"/>
          <w:lang w:val="en-US"/>
        </w:rPr>
        <w:t>uncheck</w:t>
      </w:r>
      <w:r w:rsidRPr="556DC2D1">
        <w:rPr>
          <w:color w:val="auto"/>
          <w:sz w:val="22"/>
          <w:szCs w:val="22"/>
          <w:lang w:val="en-US"/>
        </w:rPr>
        <w:t xml:space="preserve"> Aggregate Measures.</w:t>
      </w:r>
    </w:p>
    <w:p w14:paraId="0F6CDBF8" w14:textId="77777777" w:rsidR="00F90D8F" w:rsidRDefault="00F90D8F" w:rsidP="00C260F9">
      <w:pPr>
        <w:rPr>
          <w:b/>
          <w:lang w:val="en-US"/>
        </w:rPr>
      </w:pPr>
    </w:p>
    <w:p w14:paraId="303F36DD" w14:textId="0C285244" w:rsidR="00C260F9" w:rsidRDefault="556DC2D1" w:rsidP="00C260F9">
      <w:pPr>
        <w:rPr>
          <w:lang w:val="en-US"/>
        </w:rPr>
      </w:pPr>
      <w:r w:rsidRPr="556DC2D1">
        <w:rPr>
          <w:b/>
          <w:bCs/>
          <w:lang w:val="en-US"/>
        </w:rPr>
        <w:t>Swap</w:t>
      </w:r>
      <w:r w:rsidRPr="556DC2D1">
        <w:rPr>
          <w:lang w:val="en-US"/>
        </w:rPr>
        <w:t xml:space="preserve"> if needed to get Discount on the horizontal axis – looks like Profit tends to decrease as a larger Discount is given (confirms intuition).</w:t>
      </w:r>
    </w:p>
    <w:p w14:paraId="67EBD4B0" w14:textId="4039058D" w:rsidR="00C260F9" w:rsidRDefault="556DC2D1" w:rsidP="00C260F9">
      <w:pPr>
        <w:rPr>
          <w:lang w:val="en-US"/>
        </w:rPr>
      </w:pPr>
      <w:r w:rsidRPr="556DC2D1">
        <w:rPr>
          <w:lang w:val="en-US"/>
        </w:rPr>
        <w:t xml:space="preserve">Remember that with Tableau, unlike many other tools, we don’t need to stop here. It is very easy to keep adding data.  For example, drag </w:t>
      </w:r>
      <w:r w:rsidRPr="556DC2D1">
        <w:rPr>
          <w:b/>
          <w:bCs/>
          <w:lang w:val="en-US"/>
        </w:rPr>
        <w:t>Segment</w:t>
      </w:r>
      <w:r w:rsidRPr="556DC2D1">
        <w:rPr>
          <w:lang w:val="en-US"/>
        </w:rPr>
        <w:t xml:space="preserve"> to </w:t>
      </w:r>
      <w:r w:rsidRPr="556DC2D1">
        <w:rPr>
          <w:b/>
          <w:bCs/>
          <w:lang w:val="en-US"/>
        </w:rPr>
        <w:t>Color</w:t>
      </w:r>
      <w:r w:rsidRPr="556DC2D1">
        <w:rPr>
          <w:lang w:val="en-US"/>
        </w:rPr>
        <w:t>. This makes it easy to see what segment certain outliers belong to.</w:t>
      </w:r>
    </w:p>
    <w:p w14:paraId="6696CB9C" w14:textId="109A297B" w:rsidR="00C260F9" w:rsidRDefault="546AA86C" w:rsidP="00C260F9">
      <w:pPr>
        <w:rPr>
          <w:lang w:val="en-US"/>
        </w:rPr>
      </w:pPr>
      <w:r w:rsidRPr="546AA86C">
        <w:rPr>
          <w:lang w:val="en-US"/>
        </w:rPr>
        <w:t xml:space="preserve">If we prefer to focus on just one segment (while leaving all the data displayed), we can click </w:t>
      </w:r>
      <w:r w:rsidRPr="546AA86C">
        <w:rPr>
          <w:b/>
          <w:bCs/>
          <w:lang w:val="en-US"/>
        </w:rPr>
        <w:t>Highlight Selected Values</w:t>
      </w:r>
      <w:r w:rsidRPr="546AA86C">
        <w:rPr>
          <w:lang w:val="en-US"/>
        </w:rPr>
        <w:t xml:space="preserve"> in the Legend and select, for example, to focus our </w:t>
      </w:r>
      <w:proofErr w:type="spellStart"/>
      <w:r w:rsidRPr="546AA86C">
        <w:rPr>
          <w:lang w:val="en-US"/>
        </w:rPr>
        <w:t>viz</w:t>
      </w:r>
      <w:proofErr w:type="spellEnd"/>
      <w:r w:rsidRPr="546AA86C">
        <w:rPr>
          <w:lang w:val="en-US"/>
        </w:rPr>
        <w:t xml:space="preserve"> on the </w:t>
      </w:r>
      <w:r w:rsidRPr="546AA86C">
        <w:rPr>
          <w:b/>
          <w:bCs/>
          <w:lang w:val="en-US"/>
        </w:rPr>
        <w:t>Corporate</w:t>
      </w:r>
      <w:r w:rsidRPr="546AA86C">
        <w:rPr>
          <w:lang w:val="en-US"/>
        </w:rPr>
        <w:t xml:space="preserve"> segment by highlighting it.</w:t>
      </w:r>
    </w:p>
    <w:p w14:paraId="6984537D" w14:textId="383B4CF6" w:rsidR="00462D04" w:rsidRDefault="556DC2D1" w:rsidP="00DC5444">
      <w:pPr>
        <w:rPr>
          <w:lang w:val="en-US"/>
        </w:rPr>
      </w:pPr>
      <w:r w:rsidRPr="556DC2D1">
        <w:rPr>
          <w:lang w:val="en-US"/>
        </w:rPr>
        <w:t xml:space="preserve">Go back to viewing all the data.  Go to the </w:t>
      </w:r>
      <w:r w:rsidRPr="556DC2D1">
        <w:rPr>
          <w:b/>
          <w:bCs/>
          <w:lang w:val="en-US"/>
        </w:rPr>
        <w:t>Analytics pane</w:t>
      </w:r>
      <w:r w:rsidRPr="556DC2D1">
        <w:rPr>
          <w:lang w:val="en-US"/>
        </w:rPr>
        <w:t xml:space="preserve"> and drag out a </w:t>
      </w:r>
      <w:r w:rsidRPr="556DC2D1">
        <w:rPr>
          <w:b/>
          <w:bCs/>
          <w:lang w:val="en-US"/>
        </w:rPr>
        <w:t>trend line</w:t>
      </w:r>
      <w:r w:rsidRPr="556DC2D1">
        <w:rPr>
          <w:lang w:val="en-US"/>
        </w:rPr>
        <w:t xml:space="preserve"> (choose </w:t>
      </w:r>
      <w:r w:rsidRPr="556DC2D1">
        <w:rPr>
          <w:b/>
          <w:bCs/>
          <w:lang w:val="en-US"/>
        </w:rPr>
        <w:t>linear</w:t>
      </w:r>
      <w:r w:rsidRPr="556DC2D1">
        <w:rPr>
          <w:lang w:val="en-US"/>
        </w:rPr>
        <w:t>). If you have had a statistics course, you probably realize that this is a regression line.  We are not covering regression in this course, but for students who need a refresher, I have posted a document on the course website for you.</w:t>
      </w:r>
    </w:p>
    <w:p w14:paraId="4C3A8D1E" w14:textId="730FFBDA" w:rsidR="00462D04" w:rsidRDefault="00462D04" w:rsidP="00DC5444">
      <w:pPr>
        <w:rPr>
          <w:lang w:val="en-US"/>
        </w:rPr>
      </w:pPr>
      <w:r>
        <w:rPr>
          <w:lang w:val="en-US"/>
        </w:rPr>
        <w:t>[[</w:t>
      </w:r>
      <w:r w:rsidR="001A4CA7">
        <w:rPr>
          <w:lang w:val="en-US"/>
        </w:rPr>
        <w:t>Students should check the post for regression refresher</w:t>
      </w:r>
      <w:r>
        <w:rPr>
          <w:lang w:val="en-US"/>
        </w:rPr>
        <w:t xml:space="preserve"> </w:t>
      </w:r>
      <w:hyperlink r:id="rId8" w:tgtFrame="_blank" w:history="1">
        <w:r w:rsidRPr="556DC2D1">
          <w:rPr>
            <w:rStyle w:val="Hyperlink"/>
            <w:rFonts w:ascii="Arial" w:eastAsia="Arial" w:hAnsi="Arial" w:cs="Arial"/>
            <w:color w:val="3277B2"/>
            <w:sz w:val="21"/>
            <w:szCs w:val="21"/>
            <w:shd w:val="clear" w:color="auto" w:fill="FFFFFF"/>
          </w:rPr>
          <w:t>http://onlinestatbook.com/2/regression/intro.html</w:t>
        </w:r>
      </w:hyperlink>
      <w:r>
        <w:rPr>
          <w:lang w:val="en-US"/>
        </w:rPr>
        <w:t xml:space="preserve"> or a similar resource as needed]]</w:t>
      </w:r>
    </w:p>
    <w:p w14:paraId="32F54667" w14:textId="08A9B411" w:rsidR="00462D04" w:rsidRDefault="546AA86C" w:rsidP="00DC5444">
      <w:pPr>
        <w:rPr>
          <w:lang w:val="en-US"/>
        </w:rPr>
      </w:pPr>
      <w:r w:rsidRPr="546AA86C">
        <w:rPr>
          <w:lang w:val="en-US"/>
        </w:rPr>
        <w:t xml:space="preserve">This trend line does not look very impressive, but take a look at the y-axis scale. We need to investigate more before dismissing this as a negligible relationship.  </w:t>
      </w:r>
      <w:r w:rsidRPr="546AA86C">
        <w:rPr>
          <w:b/>
          <w:bCs/>
          <w:lang w:val="en-US"/>
        </w:rPr>
        <w:t>Hover</w:t>
      </w:r>
      <w:r w:rsidRPr="546AA86C">
        <w:rPr>
          <w:lang w:val="en-US"/>
        </w:rPr>
        <w:t xml:space="preserve"> over the trend line.  The </w:t>
      </w:r>
      <w:r w:rsidRPr="546AA86C">
        <w:rPr>
          <w:b/>
          <w:bCs/>
          <w:lang w:val="en-US"/>
        </w:rPr>
        <w:t>p-value</w:t>
      </w:r>
      <w:r w:rsidRPr="546AA86C">
        <w:rPr>
          <w:lang w:val="en-US"/>
        </w:rPr>
        <w:t xml:space="preserve"> is very small, so in fact the relationship between these variables is statistically significant.  And we can see by the negative </w:t>
      </w:r>
      <w:r w:rsidRPr="546AA86C">
        <w:rPr>
          <w:b/>
          <w:bCs/>
          <w:lang w:val="en-US"/>
        </w:rPr>
        <w:t>coefficient</w:t>
      </w:r>
      <w:r w:rsidRPr="546AA86C">
        <w:rPr>
          <w:lang w:val="en-US"/>
        </w:rPr>
        <w:t xml:space="preserve"> that the relationship is negative.  However, the </w:t>
      </w:r>
      <w:r w:rsidRPr="546AA86C">
        <w:rPr>
          <w:b/>
          <w:bCs/>
          <w:lang w:val="en-US"/>
        </w:rPr>
        <w:t>R-Squared</w:t>
      </w:r>
      <w:r w:rsidRPr="546AA86C">
        <w:rPr>
          <w:lang w:val="en-US"/>
        </w:rPr>
        <w:t xml:space="preserve"> value is somewhat low, so our simple trend line has not explained very much of the relationship.  </w:t>
      </w:r>
      <w:r w:rsidRPr="546AA86C">
        <w:rPr>
          <w:b/>
          <w:bCs/>
          <w:lang w:val="en-US"/>
        </w:rPr>
        <w:t xml:space="preserve">Drag the </w:t>
      </w:r>
      <w:proofErr w:type="spellStart"/>
      <w:r w:rsidRPr="546AA86C">
        <w:rPr>
          <w:b/>
          <w:bCs/>
          <w:lang w:val="en-US"/>
        </w:rPr>
        <w:t>trendline</w:t>
      </w:r>
      <w:proofErr w:type="spellEnd"/>
      <w:r w:rsidRPr="546AA86C">
        <w:rPr>
          <w:b/>
          <w:bCs/>
          <w:lang w:val="en-US"/>
        </w:rPr>
        <w:t xml:space="preserve"> out</w:t>
      </w:r>
      <w:r w:rsidRPr="546AA86C">
        <w:rPr>
          <w:lang w:val="en-US"/>
        </w:rPr>
        <w:t xml:space="preserve"> of the </w:t>
      </w:r>
      <w:proofErr w:type="spellStart"/>
      <w:r w:rsidRPr="546AA86C">
        <w:rPr>
          <w:lang w:val="en-US"/>
        </w:rPr>
        <w:t>viz</w:t>
      </w:r>
      <w:proofErr w:type="spellEnd"/>
      <w:r w:rsidRPr="546AA86C">
        <w:rPr>
          <w:lang w:val="en-US"/>
        </w:rPr>
        <w:t xml:space="preserve"> to remove it.  [[Instructors might want to digress more into interpretations here if desired]]</w:t>
      </w:r>
    </w:p>
    <w:p w14:paraId="7CC085D2" w14:textId="77777777" w:rsidR="00DC5444" w:rsidRPr="00DC5444" w:rsidRDefault="00DC5444" w:rsidP="00DC5444">
      <w:pPr>
        <w:rPr>
          <w:lang w:val="en-US"/>
        </w:rPr>
      </w:pPr>
    </w:p>
    <w:p w14:paraId="3E978599" w14:textId="367D4458" w:rsidR="00787F5C" w:rsidRPr="00E3643C" w:rsidRDefault="556DC2D1" w:rsidP="00E3643C">
      <w:pPr>
        <w:pStyle w:val="Heading2"/>
        <w:rPr>
          <w:rFonts w:ascii="Cambria" w:hAnsi="Cambria"/>
          <w:lang w:val="en-US"/>
        </w:rPr>
      </w:pPr>
      <w:r w:rsidRPr="556DC2D1">
        <w:rPr>
          <w:rFonts w:ascii="Cambria" w:eastAsia="Cambria" w:hAnsi="Cambria" w:cs="Cambria"/>
          <w:lang w:val="en-US"/>
        </w:rPr>
        <w:lastRenderedPageBreak/>
        <w:t>Line Graphs</w:t>
      </w:r>
    </w:p>
    <w:p w14:paraId="73EF53C9" w14:textId="77777777" w:rsidR="006854FF" w:rsidRDefault="006854FF" w:rsidP="006854FF">
      <w:pPr>
        <w:rPr>
          <w:lang w:val="en-US"/>
        </w:rPr>
      </w:pPr>
    </w:p>
    <w:p w14:paraId="208F884D" w14:textId="2619550B" w:rsidR="00DB11AF" w:rsidRDefault="556DC2D1" w:rsidP="006854FF">
      <w:pPr>
        <w:rPr>
          <w:lang w:val="en-US"/>
        </w:rPr>
      </w:pPr>
      <w:r w:rsidRPr="556DC2D1">
        <w:rPr>
          <w:lang w:val="en-US"/>
        </w:rPr>
        <w:t xml:space="preserve">Like Scatterplots, line graphs are good for looking at the relationship between 2 variables (although a scatterplot is often better for this).  Line graphs are often used for looking at how something changes </w:t>
      </w:r>
      <w:r w:rsidRPr="556DC2D1">
        <w:rPr>
          <w:u w:val="single"/>
          <w:lang w:val="en-US"/>
        </w:rPr>
        <w:t>over time</w:t>
      </w:r>
      <w:r w:rsidRPr="556DC2D1">
        <w:rPr>
          <w:lang w:val="en-US"/>
        </w:rPr>
        <w:t xml:space="preserve">.  This is called </w:t>
      </w:r>
      <w:r w:rsidRPr="556DC2D1">
        <w:rPr>
          <w:u w:val="single"/>
          <w:lang w:val="en-US"/>
        </w:rPr>
        <w:t>time series</w:t>
      </w:r>
      <w:r w:rsidRPr="556DC2D1">
        <w:rPr>
          <w:lang w:val="en-US"/>
        </w:rPr>
        <w:t xml:space="preserve"> analysis.</w:t>
      </w:r>
    </w:p>
    <w:p w14:paraId="107B0ADD" w14:textId="3D6B0139" w:rsidR="006854FF" w:rsidRDefault="556DC2D1" w:rsidP="006854FF">
      <w:pPr>
        <w:rPr>
          <w:lang w:val="en-US"/>
        </w:rPr>
      </w:pPr>
      <w:r w:rsidRPr="556DC2D1">
        <w:rPr>
          <w:lang w:val="en-US"/>
        </w:rPr>
        <w:t xml:space="preserve">Let’s start by looking at sales over time. Double-click </w:t>
      </w:r>
      <w:r w:rsidRPr="556DC2D1">
        <w:rPr>
          <w:b/>
          <w:bCs/>
          <w:lang w:val="en-US"/>
        </w:rPr>
        <w:t>Sales</w:t>
      </w:r>
      <w:r w:rsidRPr="556DC2D1">
        <w:rPr>
          <w:lang w:val="en-US"/>
        </w:rPr>
        <w:t xml:space="preserve">, double-click </w:t>
      </w:r>
      <w:r w:rsidRPr="556DC2D1">
        <w:rPr>
          <w:b/>
          <w:bCs/>
          <w:lang w:val="en-US"/>
        </w:rPr>
        <w:t>Order Date</w:t>
      </w:r>
      <w:r w:rsidRPr="556DC2D1">
        <w:rPr>
          <w:lang w:val="en-US"/>
        </w:rPr>
        <w:t>.  Tableau understands date fields and automatically breaks them down by Year, Quarter, etc.</w:t>
      </w:r>
    </w:p>
    <w:p w14:paraId="093AF04D" w14:textId="2EB4B3F6" w:rsidR="006854FF" w:rsidRDefault="556DC2D1" w:rsidP="006854FF">
      <w:pPr>
        <w:rPr>
          <w:lang w:val="en-US"/>
        </w:rPr>
      </w:pPr>
      <w:r w:rsidRPr="556DC2D1">
        <w:rPr>
          <w:lang w:val="en-US"/>
        </w:rPr>
        <w:t xml:space="preserve">I actually need more detail than yearly sales results, so let’s expand to Quarter and then Month.  I don’t really care about Quarter, so </w:t>
      </w:r>
      <w:r w:rsidRPr="556DC2D1">
        <w:rPr>
          <w:b/>
          <w:bCs/>
          <w:lang w:val="en-US"/>
        </w:rPr>
        <w:t>drag it out</w:t>
      </w:r>
      <w:r w:rsidRPr="556DC2D1">
        <w:rPr>
          <w:lang w:val="en-US"/>
        </w:rPr>
        <w:t xml:space="preserve"> of the viz.</w:t>
      </w:r>
    </w:p>
    <w:p w14:paraId="702D5825" w14:textId="07A94374" w:rsidR="008565D8" w:rsidRDefault="556DC2D1" w:rsidP="006854FF">
      <w:pPr>
        <w:rPr>
          <w:lang w:val="en-US"/>
        </w:rPr>
      </w:pPr>
      <w:r w:rsidRPr="556DC2D1">
        <w:rPr>
          <w:lang w:val="en-US"/>
        </w:rPr>
        <w:t xml:space="preserve">Note that dual axis is very easy in Tableau – drag </w:t>
      </w:r>
      <w:r w:rsidRPr="556DC2D1">
        <w:rPr>
          <w:b/>
          <w:bCs/>
          <w:lang w:val="en-US"/>
        </w:rPr>
        <w:t>Profit</w:t>
      </w:r>
      <w:r w:rsidRPr="556DC2D1">
        <w:rPr>
          <w:lang w:val="en-US"/>
        </w:rPr>
        <w:t xml:space="preserve"> to the </w:t>
      </w:r>
      <w:r w:rsidRPr="556DC2D1">
        <w:rPr>
          <w:b/>
          <w:bCs/>
          <w:lang w:val="en-US"/>
        </w:rPr>
        <w:t>right axis</w:t>
      </w:r>
      <w:r w:rsidRPr="556DC2D1">
        <w:rPr>
          <w:lang w:val="en-US"/>
        </w:rPr>
        <w:t xml:space="preserve">.  Then </w:t>
      </w:r>
      <w:r w:rsidRPr="556DC2D1">
        <w:rPr>
          <w:b/>
          <w:bCs/>
          <w:lang w:val="en-US"/>
        </w:rPr>
        <w:t>Undo</w:t>
      </w:r>
      <w:r w:rsidRPr="556DC2D1">
        <w:rPr>
          <w:lang w:val="en-US"/>
        </w:rPr>
        <w:t xml:space="preserve"> to get back to Sales only.</w:t>
      </w:r>
    </w:p>
    <w:p w14:paraId="6568BA9C" w14:textId="1E048D37" w:rsidR="006854FF" w:rsidRDefault="546AA86C" w:rsidP="006854FF">
      <w:pPr>
        <w:rPr>
          <w:lang w:val="en-US"/>
        </w:rPr>
      </w:pPr>
      <w:r w:rsidRPr="546AA86C">
        <w:rPr>
          <w:lang w:val="en-US"/>
        </w:rPr>
        <w:t xml:space="preserve">Remember that we can now drag things around and change the </w:t>
      </w:r>
      <w:proofErr w:type="spellStart"/>
      <w:r w:rsidRPr="546AA86C">
        <w:rPr>
          <w:lang w:val="en-US"/>
        </w:rPr>
        <w:t>viz</w:t>
      </w:r>
      <w:proofErr w:type="spellEnd"/>
      <w:r w:rsidRPr="546AA86C">
        <w:rPr>
          <w:lang w:val="en-US"/>
        </w:rPr>
        <w:t xml:space="preserve"> on the fly.  We have discrete dates right now (we have already learned how, with discrete dates, each part of the date is treated separately).  So for example we can drag </w:t>
      </w:r>
      <w:r w:rsidRPr="546AA86C">
        <w:rPr>
          <w:b/>
          <w:bCs/>
          <w:lang w:val="en-US"/>
        </w:rPr>
        <w:t>Year</w:t>
      </w:r>
      <w:r w:rsidRPr="546AA86C">
        <w:rPr>
          <w:lang w:val="en-US"/>
        </w:rPr>
        <w:t xml:space="preserve"> to </w:t>
      </w:r>
      <w:r w:rsidRPr="546AA86C">
        <w:rPr>
          <w:b/>
          <w:bCs/>
          <w:lang w:val="en-US"/>
        </w:rPr>
        <w:t>Color</w:t>
      </w:r>
      <w:r w:rsidRPr="546AA86C">
        <w:rPr>
          <w:lang w:val="en-US"/>
        </w:rPr>
        <w:t xml:space="preserve"> and see direct comparisons between the years. (Note that, if you liked the current format and just want each year to be a different color for clarity, you could CNTRL-drag Year to color).</w:t>
      </w:r>
    </w:p>
    <w:p w14:paraId="5D07B4CF" w14:textId="35148C80" w:rsidR="00B941B3" w:rsidRPr="00B941B3" w:rsidRDefault="556DC2D1" w:rsidP="00B941B3">
      <w:pPr>
        <w:rPr>
          <w:lang w:val="en-US"/>
        </w:rPr>
      </w:pPr>
      <w:r w:rsidRPr="556DC2D1">
        <w:rPr>
          <w:lang w:val="en-US"/>
        </w:rPr>
        <w:t xml:space="preserve">Let’s all get back to a separate line chart for each year.  If I want to look at a common calculation for time series data, like year over year growth, it is very easy: </w:t>
      </w:r>
      <w:r w:rsidRPr="556DC2D1">
        <w:rPr>
          <w:b/>
          <w:bCs/>
          <w:lang w:val="en-US"/>
        </w:rPr>
        <w:t>Right-click</w:t>
      </w:r>
      <w:r w:rsidRPr="556DC2D1">
        <w:rPr>
          <w:lang w:val="en-US"/>
        </w:rPr>
        <w:t xml:space="preserve"> on the green </w:t>
      </w:r>
      <w:proofErr w:type="gramStart"/>
      <w:r w:rsidRPr="556DC2D1">
        <w:rPr>
          <w:b/>
          <w:bCs/>
          <w:lang w:val="en-US"/>
        </w:rPr>
        <w:t>Sum(</w:t>
      </w:r>
      <w:proofErr w:type="gramEnd"/>
      <w:r w:rsidRPr="556DC2D1">
        <w:rPr>
          <w:b/>
          <w:bCs/>
          <w:lang w:val="en-US"/>
        </w:rPr>
        <w:t>Sales)</w:t>
      </w:r>
      <w:r w:rsidRPr="556DC2D1">
        <w:rPr>
          <w:lang w:val="en-US"/>
        </w:rPr>
        <w:t xml:space="preserve"> pill.  Select </w:t>
      </w:r>
      <w:r w:rsidRPr="556DC2D1">
        <w:rPr>
          <w:b/>
          <w:bCs/>
          <w:lang w:val="en-US"/>
        </w:rPr>
        <w:t>Quick Table Calculation</w:t>
      </w:r>
      <w:r w:rsidRPr="556DC2D1">
        <w:rPr>
          <w:lang w:val="en-US"/>
        </w:rPr>
        <w:t xml:space="preserve">… </w:t>
      </w:r>
      <w:r w:rsidRPr="556DC2D1">
        <w:rPr>
          <w:b/>
          <w:bCs/>
          <w:lang w:val="en-US"/>
        </w:rPr>
        <w:t>Year over Year Growth</w:t>
      </w:r>
      <w:r w:rsidRPr="556DC2D1">
        <w:rPr>
          <w:lang w:val="en-US"/>
        </w:rPr>
        <w:t xml:space="preserve">.  Now I can see that there were months in which sales went down YOY.  Click the </w:t>
      </w:r>
      <w:r w:rsidRPr="556DC2D1">
        <w:rPr>
          <w:b/>
          <w:bCs/>
          <w:lang w:val="en-US"/>
        </w:rPr>
        <w:t>Back</w:t>
      </w:r>
      <w:r w:rsidRPr="556DC2D1">
        <w:rPr>
          <w:lang w:val="en-US"/>
        </w:rPr>
        <w:t xml:space="preserve"> button.</w:t>
      </w:r>
    </w:p>
    <w:p w14:paraId="320E2F6E" w14:textId="04020067" w:rsidR="00B941B3" w:rsidRDefault="556DC2D1" w:rsidP="006854FF">
      <w:pPr>
        <w:rPr>
          <w:lang w:val="en-US"/>
        </w:rPr>
      </w:pPr>
      <w:r w:rsidRPr="556DC2D1">
        <w:rPr>
          <w:lang w:val="en-US"/>
        </w:rPr>
        <w:t xml:space="preserve">With Tableau it is also easy to add a Forecast.  Go to the </w:t>
      </w:r>
      <w:r w:rsidRPr="556DC2D1">
        <w:rPr>
          <w:b/>
          <w:bCs/>
          <w:lang w:val="en-US"/>
        </w:rPr>
        <w:t>Analytics pane</w:t>
      </w:r>
      <w:r w:rsidRPr="556DC2D1">
        <w:rPr>
          <w:lang w:val="en-US"/>
        </w:rPr>
        <w:t xml:space="preserve"> and drag out </w:t>
      </w:r>
      <w:r w:rsidRPr="556DC2D1">
        <w:rPr>
          <w:b/>
          <w:bCs/>
          <w:lang w:val="en-US"/>
        </w:rPr>
        <w:t>Forecast</w:t>
      </w:r>
      <w:r w:rsidRPr="556DC2D1">
        <w:rPr>
          <w:lang w:val="en-US"/>
        </w:rPr>
        <w:t xml:space="preserve"> (interested students can learn about the specific forecasting algorithm in the Tableau documentation).  Click the </w:t>
      </w:r>
      <w:r w:rsidRPr="556DC2D1">
        <w:rPr>
          <w:b/>
          <w:bCs/>
          <w:lang w:val="en-US"/>
        </w:rPr>
        <w:t>Back</w:t>
      </w:r>
      <w:r w:rsidRPr="556DC2D1">
        <w:rPr>
          <w:lang w:val="en-US"/>
        </w:rPr>
        <w:t xml:space="preserve"> button.</w:t>
      </w:r>
    </w:p>
    <w:p w14:paraId="4DEED770" w14:textId="77777777" w:rsidR="00E3643C" w:rsidRDefault="546AA86C" w:rsidP="00E3643C">
      <w:pPr>
        <w:tabs>
          <w:tab w:val="left" w:pos="1470"/>
        </w:tabs>
        <w:rPr>
          <w:lang w:val="en-US"/>
        </w:rPr>
      </w:pPr>
      <w:r w:rsidRPr="546AA86C">
        <w:rPr>
          <w:lang w:val="en-US"/>
        </w:rPr>
        <w:t xml:space="preserve">Another useful feature to add to a line chart is a reference line, for example: drag the </w:t>
      </w:r>
      <w:r w:rsidRPr="546AA86C">
        <w:rPr>
          <w:b/>
          <w:bCs/>
          <w:lang w:val="en-US"/>
        </w:rPr>
        <w:t>Average Line</w:t>
      </w:r>
      <w:r w:rsidRPr="546AA86C">
        <w:rPr>
          <w:lang w:val="en-US"/>
        </w:rPr>
        <w:t xml:space="preserve"> onto the </w:t>
      </w:r>
      <w:proofErr w:type="spellStart"/>
      <w:r w:rsidRPr="546AA86C">
        <w:rPr>
          <w:lang w:val="en-US"/>
        </w:rPr>
        <w:t>viz</w:t>
      </w:r>
      <w:proofErr w:type="spellEnd"/>
      <w:r w:rsidRPr="546AA86C">
        <w:rPr>
          <w:lang w:val="en-US"/>
        </w:rPr>
        <w:t xml:space="preserve">…drop it onto the </w:t>
      </w:r>
      <w:r w:rsidRPr="546AA86C">
        <w:rPr>
          <w:b/>
          <w:bCs/>
          <w:lang w:val="en-US"/>
        </w:rPr>
        <w:t>Pane</w:t>
      </w:r>
      <w:r w:rsidRPr="546AA86C">
        <w:rPr>
          <w:lang w:val="en-US"/>
        </w:rPr>
        <w:t xml:space="preserve"> icon.</w:t>
      </w:r>
    </w:p>
    <w:p w14:paraId="568D27EF" w14:textId="5ECBCCBC" w:rsidR="00E3643C" w:rsidRPr="00E3643C" w:rsidRDefault="556DC2D1" w:rsidP="00E3643C">
      <w:pPr>
        <w:tabs>
          <w:tab w:val="left" w:pos="1470"/>
        </w:tabs>
        <w:rPr>
          <w:lang w:val="en-US"/>
        </w:rPr>
      </w:pPr>
      <w:r w:rsidRPr="556DC2D1">
        <w:rPr>
          <w:lang w:val="en-US"/>
        </w:rPr>
        <w:t xml:space="preserve">I can also drill down, and this average will dynamically adjust: </w:t>
      </w:r>
      <w:r w:rsidRPr="556DC2D1">
        <w:rPr>
          <w:b/>
          <w:bCs/>
          <w:lang w:val="en-US"/>
        </w:rPr>
        <w:t>select a few points</w:t>
      </w:r>
      <w:r w:rsidRPr="556DC2D1">
        <w:rPr>
          <w:lang w:val="en-US"/>
        </w:rPr>
        <w:t xml:space="preserve"> in the line graph and note the new average line.</w:t>
      </w:r>
    </w:p>
    <w:p w14:paraId="7CC7F4BA" w14:textId="2F310211" w:rsidR="00B941B3" w:rsidRPr="00357E2F" w:rsidRDefault="556DC2D1" w:rsidP="006854FF">
      <w:pPr>
        <w:rPr>
          <w:lang w:val="en-US"/>
        </w:rPr>
      </w:pPr>
      <w:r w:rsidRPr="556DC2D1">
        <w:rPr>
          <w:lang w:val="en-US"/>
        </w:rPr>
        <w:t xml:space="preserve">Although we are talking about line graphs, I want to briefly point out how easy it is to explore other options: click the drop-down in the Marks card and select </w:t>
      </w:r>
      <w:r w:rsidRPr="556DC2D1">
        <w:rPr>
          <w:b/>
          <w:bCs/>
          <w:lang w:val="en-US"/>
        </w:rPr>
        <w:t>Bar</w:t>
      </w:r>
      <w:r w:rsidRPr="556DC2D1">
        <w:rPr>
          <w:lang w:val="en-US"/>
        </w:rPr>
        <w:t xml:space="preserve">, then </w:t>
      </w:r>
      <w:r w:rsidRPr="556DC2D1">
        <w:rPr>
          <w:b/>
          <w:bCs/>
          <w:lang w:val="en-US"/>
        </w:rPr>
        <w:t>Circle</w:t>
      </w:r>
      <w:r w:rsidRPr="556DC2D1">
        <w:rPr>
          <w:lang w:val="en-US"/>
        </w:rPr>
        <w:t xml:space="preserve">, and then finally leave it as </w:t>
      </w:r>
      <w:r w:rsidRPr="556DC2D1">
        <w:rPr>
          <w:b/>
          <w:bCs/>
          <w:lang w:val="en-US"/>
        </w:rPr>
        <w:t>Area</w:t>
      </w:r>
      <w:r w:rsidRPr="556DC2D1">
        <w:rPr>
          <w:lang w:val="en-US"/>
        </w:rPr>
        <w:t>.</w:t>
      </w:r>
    </w:p>
    <w:p w14:paraId="1A526F93" w14:textId="77777777" w:rsidR="006854FF" w:rsidRDefault="006854FF" w:rsidP="006854FF">
      <w:pPr>
        <w:rPr>
          <w:lang w:val="en-US"/>
        </w:rPr>
      </w:pPr>
    </w:p>
    <w:p w14:paraId="06290F16" w14:textId="77777777" w:rsidR="00D80A0F" w:rsidRPr="00DB11AF" w:rsidRDefault="00D80A0F" w:rsidP="006854FF">
      <w:pPr>
        <w:rPr>
          <w:lang w:val="en-US"/>
        </w:rPr>
      </w:pPr>
    </w:p>
    <w:bookmarkEnd w:id="1"/>
    <w:p w14:paraId="3B1A04CF" w14:textId="6F0EFEDE" w:rsidR="008C7AFB" w:rsidRPr="00E3643C" w:rsidRDefault="556DC2D1" w:rsidP="00E3643C">
      <w:pPr>
        <w:pStyle w:val="Heading2"/>
        <w:rPr>
          <w:rFonts w:ascii="Cambria" w:hAnsi="Cambria"/>
          <w:lang w:val="en-US"/>
        </w:rPr>
      </w:pPr>
      <w:r w:rsidRPr="556DC2D1">
        <w:rPr>
          <w:rFonts w:ascii="Cambria" w:eastAsia="Cambria" w:hAnsi="Cambria" w:cs="Cambria"/>
          <w:lang w:val="en-US"/>
        </w:rPr>
        <w:t>Histograms</w:t>
      </w:r>
    </w:p>
    <w:p w14:paraId="770E8571" w14:textId="77777777" w:rsidR="00E3643C" w:rsidRDefault="00E3643C">
      <w:pPr>
        <w:rPr>
          <w:lang w:val="en-US"/>
        </w:rPr>
      </w:pPr>
    </w:p>
    <w:p w14:paraId="33433679" w14:textId="77777777" w:rsidR="00D22B83" w:rsidRDefault="556DC2D1">
      <w:pPr>
        <w:rPr>
          <w:lang w:val="en-US"/>
        </w:rPr>
      </w:pPr>
      <w:r w:rsidRPr="556DC2D1">
        <w:rPr>
          <w:lang w:val="en-US"/>
        </w:rPr>
        <w:t xml:space="preserve">Double click </w:t>
      </w:r>
      <w:r w:rsidRPr="556DC2D1">
        <w:rPr>
          <w:b/>
          <w:bCs/>
          <w:lang w:val="en-US"/>
        </w:rPr>
        <w:t>Discount</w:t>
      </w:r>
      <w:r w:rsidRPr="556DC2D1">
        <w:rPr>
          <w:lang w:val="en-US"/>
        </w:rPr>
        <w:t>.  The default is a bar chart, and we can add more data to break out discount by segment, etc.  But what if we are just interested in learning more about the various discounts that we offer?</w:t>
      </w:r>
    </w:p>
    <w:p w14:paraId="546FC94C" w14:textId="734CC506" w:rsidR="00DC59C3" w:rsidRDefault="556DC2D1">
      <w:pPr>
        <w:rPr>
          <w:lang w:val="en-US"/>
        </w:rPr>
      </w:pPr>
      <w:r w:rsidRPr="556DC2D1">
        <w:rPr>
          <w:lang w:val="en-US"/>
        </w:rPr>
        <w:t xml:space="preserve">Use </w:t>
      </w:r>
      <w:r w:rsidRPr="556DC2D1">
        <w:rPr>
          <w:b/>
          <w:bCs/>
          <w:lang w:val="en-US"/>
        </w:rPr>
        <w:t>Show Me</w:t>
      </w:r>
      <w:r w:rsidRPr="556DC2D1">
        <w:rPr>
          <w:lang w:val="en-US"/>
        </w:rPr>
        <w:t xml:space="preserve"> to change to </w:t>
      </w:r>
      <w:r w:rsidRPr="556DC2D1">
        <w:rPr>
          <w:b/>
          <w:bCs/>
          <w:lang w:val="en-US"/>
        </w:rPr>
        <w:t>Histogram</w:t>
      </w:r>
      <w:r w:rsidRPr="556DC2D1">
        <w:rPr>
          <w:lang w:val="en-US"/>
        </w:rPr>
        <w:t xml:space="preserve">.  </w:t>
      </w:r>
      <w:r w:rsidRPr="556DC2D1">
        <w:rPr>
          <w:b/>
          <w:bCs/>
          <w:lang w:val="en-US"/>
        </w:rPr>
        <w:t>Right-click</w:t>
      </w:r>
      <w:r w:rsidRPr="556DC2D1">
        <w:rPr>
          <w:lang w:val="en-US"/>
        </w:rPr>
        <w:t xml:space="preserve"> the new </w:t>
      </w:r>
      <w:proofErr w:type="gramStart"/>
      <w:r w:rsidRPr="556DC2D1">
        <w:rPr>
          <w:b/>
          <w:bCs/>
          <w:lang w:val="en-US"/>
        </w:rPr>
        <w:t>Discount(</w:t>
      </w:r>
      <w:proofErr w:type="gramEnd"/>
      <w:r w:rsidRPr="556DC2D1">
        <w:rPr>
          <w:b/>
          <w:bCs/>
          <w:lang w:val="en-US"/>
        </w:rPr>
        <w:t>bin) dimension</w:t>
      </w:r>
      <w:r w:rsidRPr="556DC2D1">
        <w:rPr>
          <w:lang w:val="en-US"/>
        </w:rPr>
        <w:t xml:space="preserve">, </w:t>
      </w:r>
      <w:r w:rsidRPr="556DC2D1">
        <w:rPr>
          <w:b/>
          <w:bCs/>
          <w:lang w:val="en-US"/>
        </w:rPr>
        <w:t>Edit</w:t>
      </w:r>
      <w:r w:rsidRPr="556DC2D1">
        <w:rPr>
          <w:lang w:val="en-US"/>
        </w:rPr>
        <w:t>, and change bins to 0.1.  This is a very quick and easy way to get the view of the data that we want!  Now we can see that most discounts are between 0 and 10%, and there are also a lot of discounts in the 10-20% range.  We even have 300 instances in which the discount given was 70-80% (shown in the Tooltip).  If we are suspicious about these, it just takes a couple clicks to get to the underlying data (</w:t>
      </w:r>
      <w:r w:rsidRPr="556DC2D1">
        <w:rPr>
          <w:b/>
          <w:bCs/>
          <w:lang w:val="en-US"/>
        </w:rPr>
        <w:t>right-click</w:t>
      </w:r>
      <w:r w:rsidRPr="556DC2D1">
        <w:rPr>
          <w:lang w:val="en-US"/>
        </w:rPr>
        <w:t xml:space="preserve"> that bar and show the data).</w:t>
      </w:r>
    </w:p>
    <w:p w14:paraId="4F193AC7" w14:textId="002A48A7" w:rsidR="001A56BD" w:rsidRDefault="556DC2D1">
      <w:pPr>
        <w:rPr>
          <w:lang w:val="en-US"/>
        </w:rPr>
      </w:pPr>
      <w:r w:rsidRPr="556DC2D1">
        <w:rPr>
          <w:lang w:val="en-US"/>
        </w:rPr>
        <w:t xml:space="preserve">Remember that, since this is Tableau, we can add more data if we want – for example, drag </w:t>
      </w:r>
      <w:r w:rsidRPr="556DC2D1">
        <w:rPr>
          <w:b/>
          <w:bCs/>
          <w:lang w:val="en-US"/>
        </w:rPr>
        <w:t>Category</w:t>
      </w:r>
      <w:r w:rsidRPr="556DC2D1">
        <w:rPr>
          <w:lang w:val="en-US"/>
        </w:rPr>
        <w:t xml:space="preserve"> to </w:t>
      </w:r>
      <w:r w:rsidRPr="556DC2D1">
        <w:rPr>
          <w:b/>
          <w:bCs/>
          <w:lang w:val="en-US"/>
        </w:rPr>
        <w:t>Color</w:t>
      </w:r>
      <w:r w:rsidRPr="556DC2D1">
        <w:rPr>
          <w:lang w:val="en-US"/>
        </w:rPr>
        <w:t xml:space="preserve">, then </w:t>
      </w:r>
      <w:r w:rsidRPr="556DC2D1">
        <w:rPr>
          <w:b/>
          <w:bCs/>
          <w:lang w:val="en-US"/>
        </w:rPr>
        <w:t>Undo</w:t>
      </w:r>
      <w:r w:rsidRPr="556DC2D1">
        <w:rPr>
          <w:lang w:val="en-US"/>
        </w:rPr>
        <w:t xml:space="preserve"> this change.</w:t>
      </w:r>
    </w:p>
    <w:p w14:paraId="46018847" w14:textId="77777777" w:rsidR="00787F5C" w:rsidRDefault="00787F5C">
      <w:pPr>
        <w:rPr>
          <w:lang w:val="en-US"/>
        </w:rPr>
      </w:pPr>
    </w:p>
    <w:p w14:paraId="5F4A123C" w14:textId="095CA874" w:rsidR="009635F3" w:rsidRPr="00E3643C" w:rsidRDefault="556DC2D1" w:rsidP="009635F3">
      <w:pPr>
        <w:pStyle w:val="Heading2"/>
        <w:rPr>
          <w:rFonts w:ascii="Cambria" w:hAnsi="Cambria"/>
          <w:lang w:val="en-US"/>
        </w:rPr>
      </w:pPr>
      <w:r w:rsidRPr="556DC2D1">
        <w:rPr>
          <w:rFonts w:ascii="Cambria" w:eastAsia="Cambria" w:hAnsi="Cambria" w:cs="Cambria"/>
          <w:lang w:val="en-US"/>
        </w:rPr>
        <w:t>Heat Maps</w:t>
      </w:r>
    </w:p>
    <w:p w14:paraId="37AA83E1" w14:textId="77777777" w:rsidR="009635F3" w:rsidRDefault="009635F3" w:rsidP="009635F3">
      <w:pPr>
        <w:rPr>
          <w:lang w:val="en-US"/>
        </w:rPr>
      </w:pPr>
    </w:p>
    <w:p w14:paraId="2CD30725" w14:textId="38E09D27" w:rsidR="009635F3" w:rsidRDefault="009635F3" w:rsidP="009635F3">
      <w:pPr>
        <w:rPr>
          <w:lang w:val="en-US"/>
        </w:rPr>
      </w:pPr>
      <w:r>
        <w:rPr>
          <w:lang w:val="en-US"/>
        </w:rPr>
        <w:t xml:space="preserve">Let’s use heat maps to visualize the margin that we are making on Furniture items.  Notice that margin is not in the data - let’s do a quick preview of Calculated Fields to </w:t>
      </w:r>
      <w:r w:rsidR="00842341">
        <w:rPr>
          <w:lang w:val="en-US"/>
        </w:rPr>
        <w:t>create the</w:t>
      </w:r>
      <w:r>
        <w:rPr>
          <w:lang w:val="en-US"/>
        </w:rPr>
        <w:t xml:space="preserve"> margin </w:t>
      </w:r>
      <w:r w:rsidR="00842341">
        <w:rPr>
          <w:lang w:val="en-US"/>
        </w:rPr>
        <w:t xml:space="preserve">field </w:t>
      </w:r>
      <w:r w:rsidR="00842341">
        <w:rPr>
          <w:lang w:val="en-US"/>
        </w:rPr>
        <w:tab/>
      </w:r>
      <w:r>
        <w:rPr>
          <w:lang w:val="en-US"/>
        </w:rPr>
        <w:t>(we will cover calculations in detail in a later topic):</w:t>
      </w:r>
    </w:p>
    <w:p w14:paraId="43B73F74" w14:textId="27A8E661" w:rsidR="009635F3" w:rsidRDefault="556DC2D1" w:rsidP="009635F3">
      <w:pPr>
        <w:rPr>
          <w:lang w:val="en-US"/>
        </w:rPr>
      </w:pPr>
      <w:r w:rsidRPr="556DC2D1">
        <w:rPr>
          <w:b/>
          <w:bCs/>
          <w:lang w:val="en-US"/>
        </w:rPr>
        <w:t>Analysis</w:t>
      </w:r>
      <w:r w:rsidRPr="556DC2D1">
        <w:rPr>
          <w:lang w:val="en-US"/>
        </w:rPr>
        <w:t>…</w:t>
      </w:r>
      <w:r w:rsidRPr="556DC2D1">
        <w:rPr>
          <w:b/>
          <w:bCs/>
          <w:lang w:val="en-US"/>
        </w:rPr>
        <w:t>Create Calculated Field</w:t>
      </w:r>
      <w:r w:rsidRPr="556DC2D1">
        <w:rPr>
          <w:lang w:val="en-US"/>
        </w:rPr>
        <w:t xml:space="preserve">.  Name it </w:t>
      </w:r>
      <w:r w:rsidRPr="556DC2D1">
        <w:rPr>
          <w:b/>
          <w:bCs/>
          <w:lang w:val="en-US"/>
        </w:rPr>
        <w:t>Margin</w:t>
      </w:r>
      <w:r w:rsidRPr="556DC2D1">
        <w:rPr>
          <w:lang w:val="en-US"/>
        </w:rPr>
        <w:t xml:space="preserve">, formula is </w:t>
      </w:r>
      <w:proofErr w:type="gramStart"/>
      <w:r w:rsidRPr="556DC2D1">
        <w:rPr>
          <w:b/>
          <w:bCs/>
          <w:lang w:val="en-US"/>
        </w:rPr>
        <w:t>SUM(</w:t>
      </w:r>
      <w:proofErr w:type="gramEnd"/>
      <w:r w:rsidRPr="556DC2D1">
        <w:rPr>
          <w:b/>
          <w:bCs/>
          <w:lang w:val="en-US"/>
        </w:rPr>
        <w:t>[Profit])/SUM([Sales])</w:t>
      </w:r>
    </w:p>
    <w:p w14:paraId="36C5DA07" w14:textId="72D301B6" w:rsidR="009635F3" w:rsidRDefault="556DC2D1">
      <w:pPr>
        <w:rPr>
          <w:lang w:val="en-US"/>
        </w:rPr>
      </w:pPr>
      <w:r w:rsidRPr="556DC2D1">
        <w:rPr>
          <w:lang w:val="en-US"/>
        </w:rPr>
        <w:t xml:space="preserve">Drag </w:t>
      </w:r>
      <w:r w:rsidRPr="556DC2D1">
        <w:rPr>
          <w:b/>
          <w:bCs/>
          <w:lang w:val="en-US"/>
        </w:rPr>
        <w:t>Category</w:t>
      </w:r>
      <w:r w:rsidRPr="556DC2D1">
        <w:rPr>
          <w:lang w:val="en-US"/>
        </w:rPr>
        <w:t xml:space="preserve"> and </w:t>
      </w:r>
      <w:r w:rsidRPr="556DC2D1">
        <w:rPr>
          <w:b/>
          <w:bCs/>
          <w:lang w:val="en-US"/>
        </w:rPr>
        <w:t>Subcategory</w:t>
      </w:r>
      <w:r w:rsidRPr="556DC2D1">
        <w:rPr>
          <w:lang w:val="en-US"/>
        </w:rPr>
        <w:t xml:space="preserve"> to </w:t>
      </w:r>
      <w:r w:rsidRPr="556DC2D1">
        <w:rPr>
          <w:b/>
          <w:bCs/>
          <w:lang w:val="en-US"/>
        </w:rPr>
        <w:t>Row</w:t>
      </w:r>
    </w:p>
    <w:p w14:paraId="23F58593" w14:textId="261C4CCD" w:rsidR="009635F3" w:rsidRDefault="556DC2D1">
      <w:pPr>
        <w:rPr>
          <w:lang w:val="en-US"/>
        </w:rPr>
      </w:pPr>
      <w:r w:rsidRPr="556DC2D1">
        <w:rPr>
          <w:lang w:val="en-US"/>
        </w:rPr>
        <w:t xml:space="preserve">Drag </w:t>
      </w:r>
      <w:r w:rsidRPr="556DC2D1">
        <w:rPr>
          <w:b/>
          <w:bCs/>
          <w:lang w:val="en-US"/>
        </w:rPr>
        <w:t>Order Date</w:t>
      </w:r>
      <w:r w:rsidRPr="556DC2D1">
        <w:rPr>
          <w:lang w:val="en-US"/>
        </w:rPr>
        <w:t xml:space="preserve"> to </w:t>
      </w:r>
      <w:r w:rsidRPr="556DC2D1">
        <w:rPr>
          <w:b/>
          <w:bCs/>
          <w:lang w:val="en-US"/>
        </w:rPr>
        <w:t>Columns</w:t>
      </w:r>
      <w:r w:rsidRPr="556DC2D1">
        <w:rPr>
          <w:lang w:val="en-US"/>
        </w:rPr>
        <w:t xml:space="preserve">, and then change to </w:t>
      </w:r>
      <w:r w:rsidRPr="556DC2D1">
        <w:rPr>
          <w:b/>
          <w:bCs/>
          <w:lang w:val="en-US"/>
        </w:rPr>
        <w:t>Month (discrete)</w:t>
      </w:r>
    </w:p>
    <w:p w14:paraId="52FF458E" w14:textId="6D9A824D" w:rsidR="009635F3" w:rsidRDefault="556DC2D1">
      <w:pPr>
        <w:rPr>
          <w:lang w:val="en-US"/>
        </w:rPr>
      </w:pPr>
      <w:r w:rsidRPr="556DC2D1">
        <w:rPr>
          <w:lang w:val="en-US"/>
        </w:rPr>
        <w:t xml:space="preserve">Drag </w:t>
      </w:r>
      <w:r w:rsidRPr="556DC2D1">
        <w:rPr>
          <w:b/>
          <w:bCs/>
          <w:lang w:val="en-US"/>
        </w:rPr>
        <w:t>Category</w:t>
      </w:r>
      <w:r w:rsidRPr="556DC2D1">
        <w:rPr>
          <w:lang w:val="en-US"/>
        </w:rPr>
        <w:t xml:space="preserve"> to </w:t>
      </w:r>
      <w:r w:rsidRPr="556DC2D1">
        <w:rPr>
          <w:b/>
          <w:bCs/>
          <w:lang w:val="en-US"/>
        </w:rPr>
        <w:t>Filter</w:t>
      </w:r>
      <w:r w:rsidRPr="556DC2D1">
        <w:rPr>
          <w:lang w:val="en-US"/>
        </w:rPr>
        <w:t xml:space="preserve"> shelf, and select only </w:t>
      </w:r>
      <w:r w:rsidRPr="556DC2D1">
        <w:rPr>
          <w:b/>
          <w:bCs/>
          <w:lang w:val="en-US"/>
        </w:rPr>
        <w:t>Furniture</w:t>
      </w:r>
    </w:p>
    <w:p w14:paraId="5A30AEFB" w14:textId="6E68CBE2" w:rsidR="009635F3" w:rsidRDefault="556DC2D1">
      <w:pPr>
        <w:rPr>
          <w:lang w:val="en-US"/>
        </w:rPr>
      </w:pPr>
      <w:r w:rsidRPr="556DC2D1">
        <w:rPr>
          <w:lang w:val="en-US"/>
        </w:rPr>
        <w:t xml:space="preserve">Finally, drag your new </w:t>
      </w:r>
      <w:r w:rsidRPr="556DC2D1">
        <w:rPr>
          <w:b/>
          <w:bCs/>
          <w:lang w:val="en-US"/>
        </w:rPr>
        <w:t>Margin</w:t>
      </w:r>
      <w:r w:rsidRPr="556DC2D1">
        <w:rPr>
          <w:lang w:val="en-US"/>
        </w:rPr>
        <w:t xml:space="preserve"> field to the viz.  We have a table of numbers.  Not the most user-friendly…</w:t>
      </w:r>
    </w:p>
    <w:p w14:paraId="45628DA5" w14:textId="2B43C155" w:rsidR="009635F3" w:rsidRDefault="546AA86C">
      <w:pPr>
        <w:rPr>
          <w:lang w:val="en-US"/>
        </w:rPr>
      </w:pPr>
      <w:r w:rsidRPr="546AA86C">
        <w:rPr>
          <w:lang w:val="en-US"/>
        </w:rPr>
        <w:t xml:space="preserve">Select </w:t>
      </w:r>
      <w:r w:rsidRPr="546AA86C">
        <w:rPr>
          <w:b/>
          <w:bCs/>
          <w:lang w:val="en-US"/>
        </w:rPr>
        <w:t>Heat Map</w:t>
      </w:r>
      <w:r w:rsidRPr="546AA86C">
        <w:rPr>
          <w:lang w:val="en-US"/>
        </w:rPr>
        <w:t xml:space="preserve"> from Show Me, and then drag </w:t>
      </w:r>
      <w:proofErr w:type="gramStart"/>
      <w:r w:rsidRPr="546AA86C">
        <w:rPr>
          <w:b/>
          <w:bCs/>
          <w:lang w:val="en-US"/>
        </w:rPr>
        <w:t>AGG(</w:t>
      </w:r>
      <w:proofErr w:type="gramEnd"/>
      <w:r w:rsidRPr="546AA86C">
        <w:rPr>
          <w:b/>
          <w:bCs/>
          <w:lang w:val="en-US"/>
        </w:rPr>
        <w:t>Margin)</w:t>
      </w:r>
      <w:r w:rsidRPr="546AA86C">
        <w:rPr>
          <w:lang w:val="en-US"/>
        </w:rPr>
        <w:t xml:space="preserve"> on the </w:t>
      </w:r>
      <w:r w:rsidRPr="546AA86C">
        <w:rPr>
          <w:b/>
          <w:bCs/>
          <w:lang w:val="en-US"/>
        </w:rPr>
        <w:t>Marks</w:t>
      </w:r>
      <w:r w:rsidRPr="546AA86C">
        <w:rPr>
          <w:lang w:val="en-US"/>
        </w:rPr>
        <w:t xml:space="preserve"> card to </w:t>
      </w:r>
      <w:r w:rsidRPr="546AA86C">
        <w:rPr>
          <w:b/>
          <w:bCs/>
          <w:lang w:val="en-US"/>
        </w:rPr>
        <w:t>Color</w:t>
      </w:r>
      <w:r w:rsidRPr="546AA86C">
        <w:rPr>
          <w:lang w:val="en-US"/>
        </w:rPr>
        <w:t xml:space="preserve">.  Change color to Orange-Blue Diverging.  Drag edges if needed to make the </w:t>
      </w:r>
      <w:proofErr w:type="spellStart"/>
      <w:r w:rsidRPr="546AA86C">
        <w:rPr>
          <w:lang w:val="en-US"/>
        </w:rPr>
        <w:t>viz</w:t>
      </w:r>
      <w:proofErr w:type="spellEnd"/>
      <w:r w:rsidRPr="546AA86C">
        <w:rPr>
          <w:lang w:val="en-US"/>
        </w:rPr>
        <w:t xml:space="preserve"> larger.  This is much better than the table of numbers!  We immediately see some insights – e.g. </w:t>
      </w:r>
      <w:r>
        <w:t>maybe we are selling tables as a loss leader and making it up on chairs?</w:t>
      </w:r>
    </w:p>
    <w:p w14:paraId="5F248C3B" w14:textId="6B9486BF" w:rsidR="00D22B83" w:rsidRDefault="556DC2D1">
      <w:pPr>
        <w:rPr>
          <w:b/>
          <w:sz w:val="24"/>
          <w:lang w:val="en-US"/>
        </w:rPr>
      </w:pPr>
      <w:r w:rsidRPr="556DC2D1">
        <w:rPr>
          <w:b/>
          <w:bCs/>
          <w:sz w:val="24"/>
          <w:szCs w:val="24"/>
          <w:highlight w:val="yellow"/>
          <w:lang w:val="en-US"/>
        </w:rPr>
        <w:t>The chart types covered above provide a core set of Tableau skills. There are also several other basic charts (e.g. tree maps and bullet graphs) that could be cover</w:t>
      </w:r>
      <w:r w:rsidR="001A4CA7">
        <w:rPr>
          <w:b/>
          <w:bCs/>
          <w:sz w:val="24"/>
          <w:szCs w:val="24"/>
          <w:highlight w:val="yellow"/>
          <w:lang w:val="en-US"/>
        </w:rPr>
        <w:t>ed at this point in the course. S</w:t>
      </w:r>
      <w:bookmarkStart w:id="2" w:name="_GoBack"/>
      <w:bookmarkEnd w:id="2"/>
      <w:r w:rsidRPr="556DC2D1">
        <w:rPr>
          <w:b/>
          <w:bCs/>
          <w:sz w:val="24"/>
          <w:szCs w:val="24"/>
          <w:highlight w:val="yellow"/>
          <w:lang w:val="en-US"/>
        </w:rPr>
        <w:t>tudents can be referred to Tableau’s online resources for these charts:</w:t>
      </w:r>
    </w:p>
    <w:p w14:paraId="6109EA5C" w14:textId="77777777" w:rsidR="006E4A9E" w:rsidRDefault="556DC2D1" w:rsidP="006E4A9E">
      <w:pPr>
        <w:pStyle w:val="ListParagraph"/>
        <w:numPr>
          <w:ilvl w:val="0"/>
          <w:numId w:val="25"/>
        </w:numPr>
        <w:ind w:left="360"/>
      </w:pPr>
      <w:r>
        <w:t>Tree Maps:</w:t>
      </w:r>
    </w:p>
    <w:p w14:paraId="391CEE44" w14:textId="5470B332" w:rsidR="00FD26CA" w:rsidRPr="006E4A9E" w:rsidRDefault="001A4CA7" w:rsidP="006E4A9E">
      <w:pPr>
        <w:pStyle w:val="ListParagraph"/>
        <w:numPr>
          <w:ilvl w:val="1"/>
          <w:numId w:val="25"/>
        </w:numPr>
        <w:ind w:left="1080"/>
      </w:pPr>
      <w:hyperlink r:id="rId9" w:history="1">
        <w:r w:rsidR="00FD26CA" w:rsidRPr="006E4A9E">
          <w:rPr>
            <w:rStyle w:val="Hyperlink"/>
            <w:b/>
            <w:sz w:val="24"/>
            <w:lang w:val="en-US"/>
          </w:rPr>
          <w:t>http://onlinehelp.tableau.com/current/pro/online/mac/en-us/buildexamples_treemap.html</w:t>
        </w:r>
      </w:hyperlink>
    </w:p>
    <w:p w14:paraId="4AC4F88F" w14:textId="51472CE3" w:rsidR="006E4A9E" w:rsidRDefault="556DC2D1" w:rsidP="006E4A9E">
      <w:pPr>
        <w:pStyle w:val="ListParagraph"/>
        <w:numPr>
          <w:ilvl w:val="0"/>
          <w:numId w:val="25"/>
        </w:numPr>
        <w:ind w:left="360"/>
      </w:pPr>
      <w:r>
        <w:t>Bullet Graphs</w:t>
      </w:r>
    </w:p>
    <w:p w14:paraId="7956897E" w14:textId="1F0FB7FC" w:rsidR="006E4A9E" w:rsidRPr="006E4A9E" w:rsidRDefault="006E4A9E" w:rsidP="006E4A9E">
      <w:pPr>
        <w:pStyle w:val="ListParagraph"/>
        <w:numPr>
          <w:ilvl w:val="1"/>
          <w:numId w:val="25"/>
        </w:numPr>
        <w:ind w:left="1080"/>
        <w:rPr>
          <w:rStyle w:val="Hyperlink"/>
          <w:b/>
          <w:sz w:val="24"/>
          <w:lang w:val="en-US"/>
        </w:rPr>
      </w:pPr>
      <w:r w:rsidRPr="006E4A9E">
        <w:rPr>
          <w:rStyle w:val="Hyperlink"/>
          <w:b/>
          <w:sz w:val="24"/>
          <w:lang w:val="en-US"/>
        </w:rPr>
        <w:t>http://onlinehelp.tableau.com/current/pro/online/mac/en-us/help.html#qs_bullet_graphs.html?Highlight=bullet</w:t>
      </w:r>
    </w:p>
    <w:p w14:paraId="1FC9FB83" w14:textId="25B7FA44" w:rsidR="006E4A9E" w:rsidRDefault="556DC2D1" w:rsidP="006E4A9E">
      <w:pPr>
        <w:pStyle w:val="ListParagraph"/>
        <w:numPr>
          <w:ilvl w:val="1"/>
          <w:numId w:val="25"/>
        </w:numPr>
        <w:ind w:left="1080"/>
      </w:pPr>
      <w:r>
        <w:t>Optional video by the inventor of the bullet graph (note: his demo uses an old version of Tableau):</w:t>
      </w:r>
    </w:p>
    <w:p w14:paraId="572B81F7" w14:textId="22C28C76" w:rsidR="006E4A9E" w:rsidRDefault="001A4CA7" w:rsidP="006E4A9E">
      <w:pPr>
        <w:pStyle w:val="ListParagraph"/>
        <w:numPr>
          <w:ilvl w:val="2"/>
          <w:numId w:val="25"/>
        </w:numPr>
      </w:pPr>
      <w:hyperlink r:id="rId10" w:history="1">
        <w:r w:rsidR="006E4A9E" w:rsidRPr="006E4A9E">
          <w:rPr>
            <w:rStyle w:val="Hyperlink"/>
            <w:b/>
            <w:sz w:val="24"/>
            <w:lang w:val="en-US"/>
          </w:rPr>
          <w:t>http://www.tableau.com/videos/bullet-graphs</w:t>
        </w:r>
      </w:hyperlink>
    </w:p>
    <w:p w14:paraId="4683FA42" w14:textId="77777777" w:rsidR="006E4A9E" w:rsidRPr="006E4A9E" w:rsidRDefault="006E4A9E" w:rsidP="006E4A9E"/>
    <w:sectPr w:rsidR="006E4A9E" w:rsidRPr="006E4A9E" w:rsidSect="00FD26CA">
      <w:headerReference w:type="default" r:id="rId11"/>
      <w:footerReference w:type="default" r:id="rId12"/>
      <w:pgSz w:w="15840" w:h="12240" w:orient="landscape"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FF903" w14:textId="77777777" w:rsidR="0029600C" w:rsidRDefault="0029600C" w:rsidP="00D45FA0">
      <w:pPr>
        <w:spacing w:after="0" w:line="240" w:lineRule="auto"/>
      </w:pPr>
      <w:r>
        <w:separator/>
      </w:r>
    </w:p>
  </w:endnote>
  <w:endnote w:type="continuationSeparator" w:id="0">
    <w:p w14:paraId="0D280E37" w14:textId="77777777" w:rsidR="0029600C" w:rsidRDefault="0029600C" w:rsidP="00D45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320"/>
      <w:gridCol w:w="4320"/>
      <w:gridCol w:w="4320"/>
    </w:tblGrid>
    <w:tr w:rsidR="556DC2D1" w14:paraId="3990CCE5" w14:textId="77777777" w:rsidTr="556DC2D1">
      <w:tc>
        <w:tcPr>
          <w:tcW w:w="4320" w:type="dxa"/>
        </w:tcPr>
        <w:p w14:paraId="1A02E7F9" w14:textId="2AD13E30" w:rsidR="556DC2D1" w:rsidRDefault="556DC2D1" w:rsidP="556DC2D1">
          <w:pPr>
            <w:pStyle w:val="Header"/>
            <w:ind w:left="-115"/>
          </w:pPr>
        </w:p>
      </w:tc>
      <w:tc>
        <w:tcPr>
          <w:tcW w:w="4320" w:type="dxa"/>
        </w:tcPr>
        <w:p w14:paraId="7E76A4C8" w14:textId="44D11ED5" w:rsidR="556DC2D1" w:rsidRDefault="556DC2D1" w:rsidP="556DC2D1">
          <w:pPr>
            <w:pStyle w:val="Header"/>
            <w:jc w:val="center"/>
          </w:pPr>
        </w:p>
      </w:tc>
      <w:tc>
        <w:tcPr>
          <w:tcW w:w="4320" w:type="dxa"/>
        </w:tcPr>
        <w:p w14:paraId="74924527" w14:textId="3B427C75" w:rsidR="556DC2D1" w:rsidRDefault="556DC2D1" w:rsidP="556DC2D1">
          <w:pPr>
            <w:pStyle w:val="Header"/>
            <w:ind w:right="-115"/>
            <w:jc w:val="right"/>
          </w:pPr>
        </w:p>
      </w:tc>
    </w:tr>
  </w:tbl>
  <w:p w14:paraId="3F3A1ADB" w14:textId="6D3C9C6C" w:rsidR="556DC2D1" w:rsidRDefault="556DC2D1" w:rsidP="556DC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A0DCC" w14:textId="77777777" w:rsidR="0029600C" w:rsidRDefault="0029600C" w:rsidP="00D45FA0">
      <w:pPr>
        <w:spacing w:after="0" w:line="240" w:lineRule="auto"/>
      </w:pPr>
      <w:r>
        <w:separator/>
      </w:r>
    </w:p>
  </w:footnote>
  <w:footnote w:type="continuationSeparator" w:id="0">
    <w:p w14:paraId="1287F4DA" w14:textId="77777777" w:rsidR="0029600C" w:rsidRDefault="0029600C" w:rsidP="00D45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320"/>
      <w:gridCol w:w="4320"/>
      <w:gridCol w:w="4320"/>
    </w:tblGrid>
    <w:tr w:rsidR="556DC2D1" w14:paraId="2AC4554A" w14:textId="77777777" w:rsidTr="546AA86C">
      <w:tc>
        <w:tcPr>
          <w:tcW w:w="4320" w:type="dxa"/>
        </w:tcPr>
        <w:p w14:paraId="1CC30AA8" w14:textId="4C3EE329" w:rsidR="556DC2D1" w:rsidRDefault="556DC2D1" w:rsidP="556DC2D1">
          <w:pPr>
            <w:pStyle w:val="Header"/>
            <w:ind w:left="-115"/>
          </w:pPr>
          <w:r>
            <w:rPr>
              <w:noProof/>
              <w:lang w:val="en-US"/>
            </w:rPr>
            <w:drawing>
              <wp:inline distT="0" distB="0" distL="0" distR="0" wp14:anchorId="4225F07A" wp14:editId="14348EF2">
                <wp:extent cx="1600200" cy="352425"/>
                <wp:effectExtent l="0" t="0" r="0" b="0"/>
                <wp:docPr id="11490717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600200" cy="352425"/>
                        </a:xfrm>
                        <a:prstGeom prst="rect">
                          <a:avLst/>
                        </a:prstGeom>
                      </pic:spPr>
                    </pic:pic>
                  </a:graphicData>
                </a:graphic>
              </wp:inline>
            </w:drawing>
          </w:r>
        </w:p>
      </w:tc>
      <w:tc>
        <w:tcPr>
          <w:tcW w:w="4320" w:type="dxa"/>
        </w:tcPr>
        <w:p w14:paraId="4506CA79" w14:textId="25B396E2" w:rsidR="556DC2D1" w:rsidRDefault="556DC2D1" w:rsidP="556DC2D1">
          <w:pPr>
            <w:pStyle w:val="Header"/>
            <w:jc w:val="center"/>
          </w:pPr>
        </w:p>
      </w:tc>
      <w:tc>
        <w:tcPr>
          <w:tcW w:w="4320" w:type="dxa"/>
        </w:tcPr>
        <w:p w14:paraId="07645ED0" w14:textId="523A0C3A" w:rsidR="556DC2D1" w:rsidRDefault="556DC2D1" w:rsidP="556DC2D1">
          <w:pPr>
            <w:pStyle w:val="Header"/>
            <w:ind w:right="-115"/>
            <w:jc w:val="right"/>
          </w:pPr>
        </w:p>
      </w:tc>
    </w:tr>
  </w:tbl>
  <w:p w14:paraId="3B9847BA" w14:textId="0B61A5D1" w:rsidR="556DC2D1" w:rsidRDefault="556DC2D1" w:rsidP="556DC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25C8"/>
    <w:multiLevelType w:val="hybridMultilevel"/>
    <w:tmpl w:val="5AC6E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C425A"/>
    <w:multiLevelType w:val="multilevel"/>
    <w:tmpl w:val="7C7AF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A176C"/>
    <w:multiLevelType w:val="hybridMultilevel"/>
    <w:tmpl w:val="A056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57933"/>
    <w:multiLevelType w:val="hybridMultilevel"/>
    <w:tmpl w:val="624C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B3BC2"/>
    <w:multiLevelType w:val="multilevel"/>
    <w:tmpl w:val="764A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1"/>
    <w:lvlOverride w:ilvl="0">
      <w:startOverride w:val="5"/>
    </w:lvlOverride>
  </w:num>
  <w:num w:numId="7">
    <w:abstractNumId w:val="1"/>
    <w:lvlOverride w:ilvl="0"/>
    <w:lvlOverride w:ilvl="1">
      <w:startOverride w:val="1"/>
    </w:lvlOverride>
  </w:num>
  <w:num w:numId="8">
    <w:abstractNumId w:val="1"/>
    <w:lvlOverride w:ilvl="0"/>
    <w:lvlOverride w:ilvl="1">
      <w:startOverride w:val="2"/>
    </w:lvlOverride>
  </w:num>
  <w:num w:numId="9">
    <w:abstractNumId w:val="1"/>
    <w:lvlOverride w:ilvl="0"/>
    <w:lvlOverride w:ilvl="1">
      <w:startOverride w:val="1"/>
    </w:lvlOverride>
  </w:num>
  <w:num w:numId="10">
    <w:abstractNumId w:val="1"/>
    <w:lvlOverride w:ilvl="0">
      <w:startOverride w:val="6"/>
    </w:lvlOverride>
    <w:lvlOverride w:ilvl="1"/>
  </w:num>
  <w:num w:numId="11">
    <w:abstractNumId w:val="1"/>
    <w:lvlOverride w:ilvl="0">
      <w:startOverride w:val="7"/>
    </w:lvlOverride>
    <w:lvlOverride w:ilvl="1"/>
  </w:num>
  <w:num w:numId="12">
    <w:abstractNumId w:val="1"/>
    <w:lvlOverride w:ilvl="0">
      <w:startOverride w:val="8"/>
    </w:lvlOverride>
    <w:lvlOverride w:ilvl="1"/>
  </w:num>
  <w:num w:numId="13">
    <w:abstractNumId w:val="1"/>
    <w:lvlOverride w:ilvl="0">
      <w:startOverride w:val="9"/>
    </w:lvlOverride>
    <w:lvlOverride w:ilvl="1"/>
  </w:num>
  <w:num w:numId="14">
    <w:abstractNumId w:val="1"/>
    <w:lvlOverride w:ilvl="0">
      <w:startOverride w:val="10"/>
    </w:lvlOverride>
    <w:lvlOverride w:ilvl="1"/>
  </w:num>
  <w:num w:numId="15">
    <w:abstractNumId w:val="1"/>
    <w:lvlOverride w:ilvl="0">
      <w:startOverride w:val="11"/>
    </w:lvlOverride>
    <w:lvlOverride w:ilvl="1"/>
  </w:num>
  <w:num w:numId="16">
    <w:abstractNumId w:val="1"/>
    <w:lvlOverride w:ilvl="0">
      <w:startOverride w:val="12"/>
    </w:lvlOverride>
    <w:lvlOverride w:ilvl="1"/>
  </w:num>
  <w:num w:numId="17">
    <w:abstractNumId w:val="4"/>
    <w:lvlOverride w:ilvl="0">
      <w:startOverride w:val="1"/>
    </w:lvlOverride>
  </w:num>
  <w:num w:numId="18">
    <w:abstractNumId w:val="4"/>
    <w:lvlOverride w:ilvl="0">
      <w:startOverride w:val="2"/>
    </w:lvlOverride>
  </w:num>
  <w:num w:numId="19">
    <w:abstractNumId w:val="4"/>
    <w:lvlOverride w:ilvl="0">
      <w:startOverride w:val="3"/>
    </w:lvlOverride>
  </w:num>
  <w:num w:numId="20">
    <w:abstractNumId w:val="4"/>
    <w:lvlOverride w:ilvl="0">
      <w:startOverride w:val="4"/>
    </w:lvlOverride>
  </w:num>
  <w:num w:numId="21">
    <w:abstractNumId w:val="4"/>
    <w:lvlOverride w:ilvl="0">
      <w:startOverride w:val="5"/>
    </w:lvlOverride>
  </w:num>
  <w:num w:numId="22">
    <w:abstractNumId w:val="4"/>
    <w:lvlOverride w:ilvl="0">
      <w:startOverride w:val="6"/>
    </w:lvlOverride>
  </w:num>
  <w:num w:numId="23">
    <w:abstractNumId w:val="4"/>
    <w:lvlOverride w:ilvl="0">
      <w:startOverride w:val="7"/>
    </w:lvlOverride>
  </w:num>
  <w:num w:numId="24">
    <w:abstractNumId w:val="2"/>
  </w:num>
  <w:num w:numId="25">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gutterAtTop/>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FF"/>
    <w:rsid w:val="00013A5D"/>
    <w:rsid w:val="00014BED"/>
    <w:rsid w:val="00021D2C"/>
    <w:rsid w:val="00026CE7"/>
    <w:rsid w:val="000330DE"/>
    <w:rsid w:val="00034E71"/>
    <w:rsid w:val="0003778A"/>
    <w:rsid w:val="00041686"/>
    <w:rsid w:val="000438CC"/>
    <w:rsid w:val="00044A36"/>
    <w:rsid w:val="0005161D"/>
    <w:rsid w:val="000531CC"/>
    <w:rsid w:val="000823A3"/>
    <w:rsid w:val="00086A31"/>
    <w:rsid w:val="000932A0"/>
    <w:rsid w:val="00096265"/>
    <w:rsid w:val="000A2375"/>
    <w:rsid w:val="000A2F96"/>
    <w:rsid w:val="000A323A"/>
    <w:rsid w:val="000B0E39"/>
    <w:rsid w:val="000E604B"/>
    <w:rsid w:val="000F2363"/>
    <w:rsid w:val="000F574A"/>
    <w:rsid w:val="000F5F9E"/>
    <w:rsid w:val="00127486"/>
    <w:rsid w:val="0013781F"/>
    <w:rsid w:val="00137AAC"/>
    <w:rsid w:val="001401D7"/>
    <w:rsid w:val="001512E8"/>
    <w:rsid w:val="001763A8"/>
    <w:rsid w:val="001814C6"/>
    <w:rsid w:val="00184FCD"/>
    <w:rsid w:val="001A4CA7"/>
    <w:rsid w:val="001A56BD"/>
    <w:rsid w:val="001C75C6"/>
    <w:rsid w:val="001D084C"/>
    <w:rsid w:val="001E0684"/>
    <w:rsid w:val="001E40B9"/>
    <w:rsid w:val="001F6C9E"/>
    <w:rsid w:val="00202E50"/>
    <w:rsid w:val="00205007"/>
    <w:rsid w:val="00206FA6"/>
    <w:rsid w:val="00236118"/>
    <w:rsid w:val="00237B6A"/>
    <w:rsid w:val="002502C9"/>
    <w:rsid w:val="00252DBD"/>
    <w:rsid w:val="002604BF"/>
    <w:rsid w:val="002621E5"/>
    <w:rsid w:val="00263E49"/>
    <w:rsid w:val="002670FA"/>
    <w:rsid w:val="00272245"/>
    <w:rsid w:val="00285974"/>
    <w:rsid w:val="0029600C"/>
    <w:rsid w:val="002A264D"/>
    <w:rsid w:val="002B5FFF"/>
    <w:rsid w:val="002D5F77"/>
    <w:rsid w:val="002D63D9"/>
    <w:rsid w:val="002D7092"/>
    <w:rsid w:val="002E4272"/>
    <w:rsid w:val="002E6557"/>
    <w:rsid w:val="002E6EF1"/>
    <w:rsid w:val="002F0D0F"/>
    <w:rsid w:val="003027FA"/>
    <w:rsid w:val="00313FA6"/>
    <w:rsid w:val="0032460A"/>
    <w:rsid w:val="0033335A"/>
    <w:rsid w:val="00357228"/>
    <w:rsid w:val="00357E2F"/>
    <w:rsid w:val="00370799"/>
    <w:rsid w:val="00373207"/>
    <w:rsid w:val="003830E2"/>
    <w:rsid w:val="00393E42"/>
    <w:rsid w:val="003C341F"/>
    <w:rsid w:val="003E20A0"/>
    <w:rsid w:val="004012C2"/>
    <w:rsid w:val="004036D6"/>
    <w:rsid w:val="004046D2"/>
    <w:rsid w:val="00413CC3"/>
    <w:rsid w:val="00420B60"/>
    <w:rsid w:val="004218AC"/>
    <w:rsid w:val="00426038"/>
    <w:rsid w:val="0042710C"/>
    <w:rsid w:val="004379C8"/>
    <w:rsid w:val="00446666"/>
    <w:rsid w:val="00455A78"/>
    <w:rsid w:val="00461722"/>
    <w:rsid w:val="00462D04"/>
    <w:rsid w:val="00463830"/>
    <w:rsid w:val="00473924"/>
    <w:rsid w:val="00474739"/>
    <w:rsid w:val="00474E10"/>
    <w:rsid w:val="00491BED"/>
    <w:rsid w:val="00495B0A"/>
    <w:rsid w:val="004A140D"/>
    <w:rsid w:val="004A76DC"/>
    <w:rsid w:val="004D5545"/>
    <w:rsid w:val="004D725E"/>
    <w:rsid w:val="004D7926"/>
    <w:rsid w:val="004E710F"/>
    <w:rsid w:val="004F5F63"/>
    <w:rsid w:val="00511A32"/>
    <w:rsid w:val="005229C1"/>
    <w:rsid w:val="00523BA2"/>
    <w:rsid w:val="00527630"/>
    <w:rsid w:val="005356F1"/>
    <w:rsid w:val="00535D62"/>
    <w:rsid w:val="005432AB"/>
    <w:rsid w:val="00577846"/>
    <w:rsid w:val="00583D9B"/>
    <w:rsid w:val="00586DC8"/>
    <w:rsid w:val="005909CA"/>
    <w:rsid w:val="00593206"/>
    <w:rsid w:val="00593531"/>
    <w:rsid w:val="005956AA"/>
    <w:rsid w:val="005A03BB"/>
    <w:rsid w:val="005B16D7"/>
    <w:rsid w:val="005B254B"/>
    <w:rsid w:val="005D1E22"/>
    <w:rsid w:val="005E544D"/>
    <w:rsid w:val="005F51E6"/>
    <w:rsid w:val="005F7E2A"/>
    <w:rsid w:val="00600DC4"/>
    <w:rsid w:val="00617708"/>
    <w:rsid w:val="00626BCD"/>
    <w:rsid w:val="00627D9F"/>
    <w:rsid w:val="00664481"/>
    <w:rsid w:val="006854FF"/>
    <w:rsid w:val="00692249"/>
    <w:rsid w:val="006A4FCE"/>
    <w:rsid w:val="006B64E1"/>
    <w:rsid w:val="006C137B"/>
    <w:rsid w:val="006C732D"/>
    <w:rsid w:val="006D57D4"/>
    <w:rsid w:val="006D5D49"/>
    <w:rsid w:val="006E4A9E"/>
    <w:rsid w:val="0070209C"/>
    <w:rsid w:val="007063F3"/>
    <w:rsid w:val="00721870"/>
    <w:rsid w:val="00724569"/>
    <w:rsid w:val="00744822"/>
    <w:rsid w:val="00751A27"/>
    <w:rsid w:val="00770ED3"/>
    <w:rsid w:val="00777E72"/>
    <w:rsid w:val="00787F5C"/>
    <w:rsid w:val="00793B34"/>
    <w:rsid w:val="00795AB6"/>
    <w:rsid w:val="007B7E6D"/>
    <w:rsid w:val="007C7EC7"/>
    <w:rsid w:val="007D3CC3"/>
    <w:rsid w:val="007D7724"/>
    <w:rsid w:val="007F29C5"/>
    <w:rsid w:val="007F7FA2"/>
    <w:rsid w:val="00802DA5"/>
    <w:rsid w:val="00804E3B"/>
    <w:rsid w:val="00835A32"/>
    <w:rsid w:val="00842341"/>
    <w:rsid w:val="00842E49"/>
    <w:rsid w:val="008565D8"/>
    <w:rsid w:val="00857B6C"/>
    <w:rsid w:val="00865B0F"/>
    <w:rsid w:val="008834D5"/>
    <w:rsid w:val="00885EBD"/>
    <w:rsid w:val="008910D4"/>
    <w:rsid w:val="008A2CF1"/>
    <w:rsid w:val="008C7387"/>
    <w:rsid w:val="008C7AFB"/>
    <w:rsid w:val="008D2920"/>
    <w:rsid w:val="008D3F79"/>
    <w:rsid w:val="008D5CAA"/>
    <w:rsid w:val="008E2F9E"/>
    <w:rsid w:val="008F73DA"/>
    <w:rsid w:val="00903428"/>
    <w:rsid w:val="00915642"/>
    <w:rsid w:val="00915C96"/>
    <w:rsid w:val="00925473"/>
    <w:rsid w:val="00931AF1"/>
    <w:rsid w:val="00934E27"/>
    <w:rsid w:val="009412AF"/>
    <w:rsid w:val="0095661A"/>
    <w:rsid w:val="009635F3"/>
    <w:rsid w:val="00973D77"/>
    <w:rsid w:val="009855AB"/>
    <w:rsid w:val="009A19C7"/>
    <w:rsid w:val="009B185A"/>
    <w:rsid w:val="009B75AE"/>
    <w:rsid w:val="009E33E8"/>
    <w:rsid w:val="009F0EF7"/>
    <w:rsid w:val="009F2991"/>
    <w:rsid w:val="009F718F"/>
    <w:rsid w:val="00A138C2"/>
    <w:rsid w:val="00A21E8F"/>
    <w:rsid w:val="00A263A5"/>
    <w:rsid w:val="00A4176E"/>
    <w:rsid w:val="00A60CF7"/>
    <w:rsid w:val="00A6420D"/>
    <w:rsid w:val="00A746F7"/>
    <w:rsid w:val="00A977F0"/>
    <w:rsid w:val="00AB07C0"/>
    <w:rsid w:val="00AC0EC1"/>
    <w:rsid w:val="00AC22E4"/>
    <w:rsid w:val="00AD0982"/>
    <w:rsid w:val="00AD2E21"/>
    <w:rsid w:val="00AF1F9A"/>
    <w:rsid w:val="00AF22D4"/>
    <w:rsid w:val="00AF5B7F"/>
    <w:rsid w:val="00AF7FBE"/>
    <w:rsid w:val="00B03B99"/>
    <w:rsid w:val="00B11304"/>
    <w:rsid w:val="00B15548"/>
    <w:rsid w:val="00B252FF"/>
    <w:rsid w:val="00B30843"/>
    <w:rsid w:val="00B3132B"/>
    <w:rsid w:val="00B331A4"/>
    <w:rsid w:val="00B40D3B"/>
    <w:rsid w:val="00B4467A"/>
    <w:rsid w:val="00B6122E"/>
    <w:rsid w:val="00B62135"/>
    <w:rsid w:val="00B84F68"/>
    <w:rsid w:val="00B86216"/>
    <w:rsid w:val="00B941B3"/>
    <w:rsid w:val="00BC6D02"/>
    <w:rsid w:val="00BD1048"/>
    <w:rsid w:val="00BD29A2"/>
    <w:rsid w:val="00BD6DA0"/>
    <w:rsid w:val="00BF0E7B"/>
    <w:rsid w:val="00BF7716"/>
    <w:rsid w:val="00BF7954"/>
    <w:rsid w:val="00C260F9"/>
    <w:rsid w:val="00C315E1"/>
    <w:rsid w:val="00C32855"/>
    <w:rsid w:val="00C46820"/>
    <w:rsid w:val="00C500D8"/>
    <w:rsid w:val="00C522E8"/>
    <w:rsid w:val="00C52D38"/>
    <w:rsid w:val="00C575B8"/>
    <w:rsid w:val="00C62C0E"/>
    <w:rsid w:val="00CE356F"/>
    <w:rsid w:val="00CE7297"/>
    <w:rsid w:val="00CF1F13"/>
    <w:rsid w:val="00D11B1E"/>
    <w:rsid w:val="00D16249"/>
    <w:rsid w:val="00D21D0A"/>
    <w:rsid w:val="00D22B83"/>
    <w:rsid w:val="00D24A9C"/>
    <w:rsid w:val="00D36516"/>
    <w:rsid w:val="00D40B8A"/>
    <w:rsid w:val="00D45FA0"/>
    <w:rsid w:val="00D461E5"/>
    <w:rsid w:val="00D56936"/>
    <w:rsid w:val="00D80A0F"/>
    <w:rsid w:val="00D95AD0"/>
    <w:rsid w:val="00DB0C58"/>
    <w:rsid w:val="00DB11AF"/>
    <w:rsid w:val="00DB506D"/>
    <w:rsid w:val="00DB653D"/>
    <w:rsid w:val="00DB6AB2"/>
    <w:rsid w:val="00DC02A7"/>
    <w:rsid w:val="00DC3D2A"/>
    <w:rsid w:val="00DC5444"/>
    <w:rsid w:val="00DC59C3"/>
    <w:rsid w:val="00DC763E"/>
    <w:rsid w:val="00DD3CFF"/>
    <w:rsid w:val="00DE28C2"/>
    <w:rsid w:val="00DE2A7E"/>
    <w:rsid w:val="00DE43E3"/>
    <w:rsid w:val="00DF0B3A"/>
    <w:rsid w:val="00DF2D94"/>
    <w:rsid w:val="00DF7429"/>
    <w:rsid w:val="00E25FF6"/>
    <w:rsid w:val="00E3643C"/>
    <w:rsid w:val="00E374BC"/>
    <w:rsid w:val="00E4685B"/>
    <w:rsid w:val="00E675BA"/>
    <w:rsid w:val="00EA1DC4"/>
    <w:rsid w:val="00EB454D"/>
    <w:rsid w:val="00EB5893"/>
    <w:rsid w:val="00EF3C1D"/>
    <w:rsid w:val="00F00759"/>
    <w:rsid w:val="00F04D89"/>
    <w:rsid w:val="00F27C6D"/>
    <w:rsid w:val="00F35C8E"/>
    <w:rsid w:val="00F60B25"/>
    <w:rsid w:val="00F62538"/>
    <w:rsid w:val="00F700D6"/>
    <w:rsid w:val="00F706E7"/>
    <w:rsid w:val="00F87B55"/>
    <w:rsid w:val="00F90D8F"/>
    <w:rsid w:val="00FA215B"/>
    <w:rsid w:val="00FA64B1"/>
    <w:rsid w:val="00FD26CA"/>
    <w:rsid w:val="00FF01E4"/>
    <w:rsid w:val="00FF216C"/>
    <w:rsid w:val="00FF22FB"/>
    <w:rsid w:val="132BB25B"/>
    <w:rsid w:val="1FA13790"/>
    <w:rsid w:val="496401EF"/>
    <w:rsid w:val="546AA86C"/>
    <w:rsid w:val="556DC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6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1E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272"/>
    <w:pPr>
      <w:ind w:left="720"/>
      <w:contextualSpacing/>
    </w:pPr>
  </w:style>
  <w:style w:type="character" w:customStyle="1" w:styleId="Heading1Char">
    <w:name w:val="Heading 1 Char"/>
    <w:basedOn w:val="DefaultParagraphFont"/>
    <w:link w:val="Heading1"/>
    <w:uiPriority w:val="9"/>
    <w:rsid w:val="000330D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D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F77"/>
    <w:rPr>
      <w:rFonts w:ascii="Tahoma" w:hAnsi="Tahoma" w:cs="Tahoma"/>
      <w:sz w:val="16"/>
      <w:szCs w:val="16"/>
    </w:rPr>
  </w:style>
  <w:style w:type="paragraph" w:styleId="CommentText">
    <w:name w:val="annotation text"/>
    <w:basedOn w:val="Normal"/>
    <w:link w:val="CommentTextChar"/>
    <w:uiPriority w:val="99"/>
    <w:semiHidden/>
    <w:unhideWhenUsed/>
    <w:rsid w:val="00B30843"/>
    <w:pPr>
      <w:spacing w:before="120" w:after="120" w:line="240" w:lineRule="auto"/>
      <w:ind w:left="360" w:hanging="360"/>
    </w:pPr>
    <w:rPr>
      <w:rFonts w:eastAsiaTheme="minorEastAsia"/>
      <w:color w:val="000000" w:themeColor="text1"/>
      <w:sz w:val="24"/>
      <w:szCs w:val="24"/>
      <w:lang w:val="en-US"/>
    </w:rPr>
  </w:style>
  <w:style w:type="character" w:customStyle="1" w:styleId="CommentTextChar">
    <w:name w:val="Comment Text Char"/>
    <w:basedOn w:val="DefaultParagraphFont"/>
    <w:link w:val="CommentText"/>
    <w:uiPriority w:val="99"/>
    <w:semiHidden/>
    <w:rsid w:val="00B30843"/>
    <w:rPr>
      <w:rFonts w:eastAsiaTheme="minorEastAsia"/>
      <w:color w:val="000000" w:themeColor="text1"/>
      <w:sz w:val="24"/>
      <w:szCs w:val="24"/>
      <w:lang w:val="en-US"/>
    </w:rPr>
  </w:style>
  <w:style w:type="character" w:styleId="CommentReference">
    <w:name w:val="annotation reference"/>
    <w:basedOn w:val="DefaultParagraphFont"/>
    <w:uiPriority w:val="99"/>
    <w:semiHidden/>
    <w:unhideWhenUsed/>
    <w:rsid w:val="00B30843"/>
    <w:rPr>
      <w:sz w:val="16"/>
      <w:szCs w:val="16"/>
    </w:rPr>
  </w:style>
  <w:style w:type="paragraph" w:styleId="Header">
    <w:name w:val="header"/>
    <w:basedOn w:val="Normal"/>
    <w:link w:val="HeaderChar"/>
    <w:uiPriority w:val="99"/>
    <w:unhideWhenUsed/>
    <w:rsid w:val="00D45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A0"/>
  </w:style>
  <w:style w:type="paragraph" w:styleId="Footer">
    <w:name w:val="footer"/>
    <w:basedOn w:val="Normal"/>
    <w:link w:val="FooterChar"/>
    <w:uiPriority w:val="99"/>
    <w:unhideWhenUsed/>
    <w:rsid w:val="00D45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A0"/>
  </w:style>
  <w:style w:type="paragraph" w:styleId="CommentSubject">
    <w:name w:val="annotation subject"/>
    <w:basedOn w:val="CommentText"/>
    <w:next w:val="CommentText"/>
    <w:link w:val="CommentSubjectChar"/>
    <w:uiPriority w:val="99"/>
    <w:semiHidden/>
    <w:unhideWhenUsed/>
    <w:rsid w:val="00B03B99"/>
    <w:pPr>
      <w:spacing w:before="0" w:after="160"/>
      <w:ind w:left="0" w:firstLine="0"/>
    </w:pPr>
    <w:rPr>
      <w:rFonts w:eastAsiaTheme="minorHAnsi"/>
      <w:b/>
      <w:bCs/>
      <w:color w:val="auto"/>
      <w:sz w:val="20"/>
      <w:szCs w:val="20"/>
      <w:lang w:val="en-AU"/>
    </w:rPr>
  </w:style>
  <w:style w:type="character" w:customStyle="1" w:styleId="CommentSubjectChar">
    <w:name w:val="Comment Subject Char"/>
    <w:basedOn w:val="CommentTextChar"/>
    <w:link w:val="CommentSubject"/>
    <w:uiPriority w:val="99"/>
    <w:semiHidden/>
    <w:rsid w:val="00B03B99"/>
    <w:rPr>
      <w:rFonts w:eastAsiaTheme="minorEastAsia"/>
      <w:b/>
      <w:bCs/>
      <w:color w:val="000000" w:themeColor="text1"/>
      <w:sz w:val="20"/>
      <w:szCs w:val="20"/>
      <w:lang w:val="en-US"/>
    </w:rPr>
  </w:style>
  <w:style w:type="paragraph" w:styleId="TOC1">
    <w:name w:val="toc 1"/>
    <w:basedOn w:val="Normal"/>
    <w:next w:val="Normal"/>
    <w:autoRedefine/>
    <w:uiPriority w:val="39"/>
    <w:unhideWhenUsed/>
    <w:rsid w:val="00E4685B"/>
    <w:pPr>
      <w:spacing w:after="100"/>
    </w:pPr>
  </w:style>
  <w:style w:type="character" w:styleId="Hyperlink">
    <w:name w:val="Hyperlink"/>
    <w:basedOn w:val="DefaultParagraphFont"/>
    <w:uiPriority w:val="99"/>
    <w:unhideWhenUsed/>
    <w:rsid w:val="00E4685B"/>
    <w:rPr>
      <w:color w:val="0563C1" w:themeColor="hyperlink"/>
      <w:u w:val="single"/>
    </w:rPr>
  </w:style>
  <w:style w:type="character" w:customStyle="1" w:styleId="Heading2Char">
    <w:name w:val="Heading 2 Char"/>
    <w:basedOn w:val="DefaultParagraphFont"/>
    <w:link w:val="Heading2"/>
    <w:uiPriority w:val="9"/>
    <w:rsid w:val="00D461E5"/>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2D63D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2D63D9"/>
    <w:rPr>
      <w:rFonts w:asciiTheme="majorHAnsi" w:eastAsiaTheme="majorEastAsia" w:hAnsiTheme="majorHAnsi" w:cstheme="majorBidi"/>
      <w:color w:val="323E4F" w:themeColor="text2" w:themeShade="BF"/>
      <w:spacing w:val="5"/>
      <w:kern w:val="28"/>
      <w:sz w:val="52"/>
      <w:szCs w:val="52"/>
      <w:lang w:val="en-US"/>
    </w:rPr>
  </w:style>
  <w:style w:type="character" w:customStyle="1" w:styleId="mcbreadcrumbsdivider">
    <w:name w:val="mcbreadcrumbsdivider"/>
    <w:basedOn w:val="DefaultParagraphFont"/>
    <w:rsid w:val="00787F5C"/>
  </w:style>
  <w:style w:type="character" w:customStyle="1" w:styleId="apple-converted-space">
    <w:name w:val="apple-converted-space"/>
    <w:basedOn w:val="DefaultParagraphFont"/>
    <w:rsid w:val="00787F5C"/>
  </w:style>
  <w:style w:type="character" w:customStyle="1" w:styleId="mcbreadcrumbs">
    <w:name w:val="mcbreadcrumbs"/>
    <w:basedOn w:val="DefaultParagraphFont"/>
    <w:rsid w:val="00787F5C"/>
  </w:style>
  <w:style w:type="paragraph" w:styleId="NormalWeb">
    <w:name w:val="Normal (Web)"/>
    <w:basedOn w:val="Normal"/>
    <w:uiPriority w:val="99"/>
    <w:semiHidden/>
    <w:unhideWhenUsed/>
    <w:rsid w:val="00787F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control">
    <w:name w:val="uicontrol"/>
    <w:basedOn w:val="DefaultParagraphFont"/>
    <w:rsid w:val="00787F5C"/>
  </w:style>
  <w:style w:type="character" w:styleId="FollowedHyperlink">
    <w:name w:val="FollowedHyperlink"/>
    <w:basedOn w:val="DefaultParagraphFont"/>
    <w:uiPriority w:val="99"/>
    <w:semiHidden/>
    <w:unhideWhenUsed/>
    <w:rsid w:val="00FD2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15521">
      <w:bodyDiv w:val="1"/>
      <w:marLeft w:val="0"/>
      <w:marRight w:val="0"/>
      <w:marTop w:val="0"/>
      <w:marBottom w:val="0"/>
      <w:divBdr>
        <w:top w:val="none" w:sz="0" w:space="0" w:color="auto"/>
        <w:left w:val="none" w:sz="0" w:space="0" w:color="auto"/>
        <w:bottom w:val="none" w:sz="0" w:space="0" w:color="auto"/>
        <w:right w:val="none" w:sz="0" w:space="0" w:color="auto"/>
      </w:divBdr>
      <w:divsChild>
        <w:div w:id="476385747">
          <w:marLeft w:val="0"/>
          <w:marRight w:val="0"/>
          <w:marTop w:val="0"/>
          <w:marBottom w:val="150"/>
          <w:divBdr>
            <w:top w:val="none" w:sz="0" w:space="0" w:color="auto"/>
            <w:left w:val="none" w:sz="0" w:space="0" w:color="auto"/>
            <w:bottom w:val="none" w:sz="0" w:space="0" w:color="auto"/>
            <w:right w:val="none" w:sz="0" w:space="0" w:color="auto"/>
          </w:divBdr>
        </w:div>
      </w:divsChild>
    </w:div>
    <w:div w:id="378405277">
      <w:bodyDiv w:val="1"/>
      <w:marLeft w:val="0"/>
      <w:marRight w:val="0"/>
      <w:marTop w:val="0"/>
      <w:marBottom w:val="0"/>
      <w:divBdr>
        <w:top w:val="none" w:sz="0" w:space="0" w:color="auto"/>
        <w:left w:val="none" w:sz="0" w:space="0" w:color="auto"/>
        <w:bottom w:val="none" w:sz="0" w:space="0" w:color="auto"/>
        <w:right w:val="none" w:sz="0" w:space="0" w:color="auto"/>
      </w:divBdr>
      <w:divsChild>
        <w:div w:id="177813774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55WXMVDO2QTfCLliav5ZsIvnxFIxqB44pLsqX0Lx22qnFp9R0m_jowyJIq2p1bT5qDOFz4Be5k0FPEMy3ikkyg.VJXqCH2o6muNFJlK90h3Cw.YLfi7wXs52pG4jRxhVANrQ3JQ2WifUp7-mioYTqLNk10Yo36lI3wGxkUj9b81DMo4G-pi_oKiacYtQMJ_2PqVp52NeK94Lm4rAT1P9up8YyPz_HluCLlo_PtrUHJ0y6d9RXe9kmkpdp7QjKFapgMeXSxyMPL43L41ZI6lTqQDgmwt18IBxtcJOgAhTJCbN7dZUdctfmZcO_P4V45x0lVOL7EH-tZ60pKqwircKcdHghcuA3Wq19tB9eJcURQGkvg67-vkQfktPMB0tdkSMKxf_cvfzPIsFDFLC0ffjTi6Vg90mzpxzV4z6sNJehlIRQRBAy__7XuxYOReNM3Vk_P4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tableau.com/videos/bullet-graphs" TargetMode="External"/><Relationship Id="rId4" Type="http://schemas.openxmlformats.org/officeDocument/2006/relationships/settings" Target="settings.xml"/><Relationship Id="rId9" Type="http://schemas.openxmlformats.org/officeDocument/2006/relationships/hyperlink" Target="http://onlinehelp.tableau.com/current/pro/online/mac/en-us/buildexamples_treemap.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1DD8A-472B-49DA-BFCF-321FC328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2018-09-12T09:02:00Z</dcterms:created>
  <dcterms:modified xsi:type="dcterms:W3CDTF">2018-09-12T09:02:00Z</dcterms:modified>
</cp:coreProperties>
</file>