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D8B" w:rsidRDefault="0047502D" w:rsidP="00DA1337">
      <w:pPr>
        <w:pStyle w:val="berschrift1"/>
      </w:pPr>
      <w:r>
        <w:t>Paillier</w:t>
      </w:r>
    </w:p>
    <w:p w:rsidR="0047502D" w:rsidRDefault="0047502D">
      <w:r>
        <w:t>Erfunden von und benannt nach Pascal Paillier im Jahr 1999</w:t>
      </w:r>
    </w:p>
    <w:p w:rsidR="0047502D" w:rsidRDefault="0047502D">
      <w:r>
        <w:t>Ist ein additives homomorphes Verschlüsselungsverfahren</w:t>
      </w:r>
    </w:p>
    <w:p w:rsidR="0047502D" w:rsidRDefault="0047502D">
      <w:r>
        <w:t>Anwendungen</w:t>
      </w:r>
    </w:p>
    <w:p w:rsidR="0047502D" w:rsidRDefault="0047502D" w:rsidP="0047502D">
      <w:pPr>
        <w:pStyle w:val="Listenabsatz"/>
        <w:numPr>
          <w:ilvl w:val="0"/>
          <w:numId w:val="1"/>
        </w:numPr>
      </w:pPr>
      <w:r>
        <w:t>E-Voting</w:t>
      </w:r>
    </w:p>
    <w:p w:rsidR="0047502D" w:rsidRDefault="0047502D" w:rsidP="0047502D">
      <w:pPr>
        <w:ind w:left="720"/>
      </w:pPr>
      <w:r>
        <w:t xml:space="preserve">Nachdem alle Wahlberechtigten ihre Stimmen verschlüsselt übermittelt haben, wird das Ergebnis aus diesen berechnet und dann entschlüsselt. Für die Errechnung des Ergebnisses wird der Private-Key nicht benötigt. </w:t>
      </w:r>
    </w:p>
    <w:p w:rsidR="0047502D" w:rsidRDefault="0047502D" w:rsidP="0047502D">
      <w:pPr>
        <w:pStyle w:val="Listenabsatz"/>
        <w:numPr>
          <w:ilvl w:val="0"/>
          <w:numId w:val="1"/>
        </w:numPr>
      </w:pPr>
      <w:r>
        <w:t>Zero-Knowledge Beweis</w:t>
      </w:r>
    </w:p>
    <w:p w:rsidR="0047502D" w:rsidRDefault="0047502D" w:rsidP="0047502D">
      <w:pPr>
        <w:ind w:left="708"/>
      </w:pPr>
      <w:r>
        <w:t xml:space="preserve">Ist eine Methode, mit der eine Partei einer anderen Partei beweisen kann, dass sie über Wissen verfügen ohne Informationen über dieses Wissen weiter zu geben.  </w:t>
      </w:r>
    </w:p>
    <w:p w:rsidR="00A71D45" w:rsidRDefault="00A71D45" w:rsidP="00A71D45">
      <w:pPr>
        <w:pStyle w:val="Listenabsatz"/>
      </w:pPr>
      <w:r>
        <w:t>Beispiel: 2 Bälle mit unterschiedlichen Farben.</w:t>
      </w:r>
    </w:p>
    <w:p w:rsidR="00A71D45" w:rsidRDefault="00DA1337" w:rsidP="00DA1337">
      <w:pPr>
        <w:pStyle w:val="berschrift2"/>
      </w:pPr>
      <w:r>
        <w:t xml:space="preserve">Paillier </w:t>
      </w:r>
      <w:proofErr w:type="spellStart"/>
      <w:r>
        <w:t>KeyGen</w:t>
      </w:r>
      <w:proofErr w:type="spellEnd"/>
    </w:p>
    <w:p w:rsidR="00DA1337" w:rsidRDefault="00DA1337" w:rsidP="00A71D45">
      <w:r>
        <w:t xml:space="preserve">Man wählt zwei ausreichend große Primzahlen p und q. Ausreichend groß entspricht 1024 Bit, also Zahlen mit je 309 Ziffern. </w:t>
      </w:r>
    </w:p>
    <w:p w:rsidR="00DA1337" w:rsidRDefault="00DA1337" w:rsidP="00A71D45">
      <w:r>
        <w:t>Danach berechnet man n. n ist das Produkt von p und q. Danach berechnet man l als das kleinste gemeinsame Vielfache von (p-1) und (q-1). Vereinfacht kann man auch l = (p-</w:t>
      </w:r>
      <w:proofErr w:type="gramStart"/>
      <w:r>
        <w:t>1)(</w:t>
      </w:r>
      <w:proofErr w:type="gramEnd"/>
      <w:r>
        <w:t>q-1) setzen.</w:t>
      </w:r>
    </w:p>
    <w:p w:rsidR="00DA1337" w:rsidRDefault="00DA1337" w:rsidP="00A71D45">
      <w:r>
        <w:t xml:space="preserve">Man wählt dann noch ein zufälliges g aus dem Restklassenring modulo n², oder vereinfacht setzt man g auf n+1. </w:t>
      </w:r>
    </w:p>
    <w:p w:rsidR="00DA1337" w:rsidRDefault="00DA1337" w:rsidP="00A71D45">
      <w:r>
        <w:t>Außerdem benötigt man noch das multiplikative Inverse m zu l modulo n.</w:t>
      </w:r>
    </w:p>
    <w:p w:rsidR="00DA1337" w:rsidRDefault="00DA1337" w:rsidP="00A71D45">
      <w:r>
        <w:t>Daraus ergibt sich der Public Key (</w:t>
      </w:r>
      <w:proofErr w:type="spellStart"/>
      <w:proofErr w:type="gramStart"/>
      <w:r>
        <w:t>n,g</w:t>
      </w:r>
      <w:proofErr w:type="spellEnd"/>
      <w:proofErr w:type="gramEnd"/>
      <w:r>
        <w:t>) und der Private Key (</w:t>
      </w:r>
      <w:proofErr w:type="spellStart"/>
      <w:r>
        <w:t>l,m</w:t>
      </w:r>
      <w:proofErr w:type="spellEnd"/>
      <w:r>
        <w:t>)</w:t>
      </w:r>
    </w:p>
    <w:p w:rsidR="00DA1337" w:rsidRDefault="00DA1337" w:rsidP="00DA1337">
      <w:pPr>
        <w:pStyle w:val="berschrift2"/>
      </w:pPr>
      <w:r>
        <w:t>Paillier Verschlüsselung</w:t>
      </w:r>
    </w:p>
    <w:p w:rsidR="00DA1337" w:rsidRDefault="00DA1337" w:rsidP="00DA1337">
      <w:r>
        <w:t>Zur Berechnung des Ciphertextes mit dem Public Key (</w:t>
      </w:r>
      <w:proofErr w:type="spellStart"/>
      <w:proofErr w:type="gramStart"/>
      <w:r>
        <w:t>n,g</w:t>
      </w:r>
      <w:proofErr w:type="spellEnd"/>
      <w:proofErr w:type="gramEnd"/>
      <w:r>
        <w:t xml:space="preserve">) braucht man noch eine Zufallszahl r, für die gilt: </w:t>
      </w:r>
      <w:proofErr w:type="spellStart"/>
      <w:r>
        <w:t>ggT</w:t>
      </w:r>
      <w:proofErr w:type="spellEnd"/>
      <w:r>
        <w:t>(</w:t>
      </w:r>
      <w:proofErr w:type="spellStart"/>
      <w:r>
        <w:t>r,n</w:t>
      </w:r>
      <w:proofErr w:type="spellEnd"/>
      <w:r>
        <w:t>) = 1 und 0 &lt; r &lt; n.</w:t>
      </w:r>
    </w:p>
    <w:p w:rsidR="00DA1337" w:rsidRDefault="00DA1337" w:rsidP="00DA1337">
      <w:r>
        <w:t>Dann ergibt sich der Ciphertext c einer Nachricht m mit der Formel:</w:t>
      </w:r>
    </w:p>
    <w:p w:rsidR="00DA1337" w:rsidRPr="00DA1337" w:rsidRDefault="00DA1337" w:rsidP="00DA1337">
      <m:oMathPara>
        <m:oMathParaPr>
          <m:jc m:val="centerGroup"/>
        </m:oMathParaPr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 mod 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A1337" w:rsidRPr="00DA1337" w:rsidRDefault="000B2250" w:rsidP="000B2250">
      <w:pPr>
        <w:pStyle w:val="berschrift2"/>
      </w:pPr>
      <w:r>
        <w:t>Paillier Entschlüsselung</w:t>
      </w:r>
    </w:p>
    <w:p w:rsidR="00DA1337" w:rsidRDefault="000B2250" w:rsidP="00A71D45">
      <w:r>
        <w:t>Man berechnet die Nachricht m aus dem Ciphertext c mit Hilfe des Private Keys (</w:t>
      </w:r>
      <w:proofErr w:type="spellStart"/>
      <w:proofErr w:type="gramStart"/>
      <w:r>
        <w:t>l,m</w:t>
      </w:r>
      <w:proofErr w:type="spellEnd"/>
      <w:proofErr w:type="gramEnd"/>
      <w:r>
        <w:t>) (und des Public Keys  (</w:t>
      </w:r>
      <w:proofErr w:type="spellStart"/>
      <w:r>
        <w:t>n,g</w:t>
      </w:r>
      <w:proofErr w:type="spellEnd"/>
      <w:r>
        <w:t xml:space="preserve">) natürlich) durch die Formel </w:t>
      </w:r>
    </w:p>
    <w:p w:rsidR="000B2250" w:rsidRPr="000B2250" w:rsidRDefault="000B2250" w:rsidP="000B2250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</m:t>
                      </m:r>
                    </m:sup>
                  </m:sSup>
                  <m:r>
                    <w:rPr>
                      <w:rFonts w:ascii="Cambria Math" w:hAnsi="Cambria Math"/>
                    </w:rPr>
                    <m:t> mod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 - 1 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μ mod n</m:t>
          </m:r>
        </m:oMath>
      </m:oMathPara>
    </w:p>
    <w:p w:rsidR="000B2250" w:rsidRDefault="000B2250" w:rsidP="000B2250">
      <w:pPr>
        <w:pStyle w:val="berschrift2"/>
      </w:pPr>
      <w:r>
        <w:t xml:space="preserve">Paillier </w:t>
      </w:r>
      <w:proofErr w:type="spellStart"/>
      <w:r>
        <w:t>Teilhomorphie</w:t>
      </w:r>
      <w:proofErr w:type="spellEnd"/>
    </w:p>
    <w:p w:rsidR="000B2250" w:rsidRDefault="000B2250" w:rsidP="000B2250">
      <w:r>
        <w:t>Die Verschlüsselung ist additiv homomorph</w:t>
      </w:r>
    </w:p>
    <w:p w:rsidR="00ED5C84" w:rsidRDefault="000B2250" w:rsidP="00ED5C84">
      <w:r>
        <w:t>Eine Multiplikation von zwei verschlüsselten Werten entspricht der Addition der unverschlüsselten Werte</w:t>
      </w:r>
      <w:r w:rsidR="00ED5C84">
        <w:t xml:space="preserve">.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2  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≡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  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*(g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</m:t>
        </m:r>
      </m:oMath>
      <w:r w:rsidR="00ED5C84" w:rsidRPr="00ED5C84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 ≡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   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 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D5C84" w:rsidRPr="00ED5C84" w:rsidRDefault="00ED5C84" w:rsidP="00ED5C84">
      <w:r w:rsidRPr="00ED5C84">
        <w:t xml:space="preserve">Da </w:t>
      </w:r>
      <w:r>
        <w:t xml:space="preserve">der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ggT(r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 n)=1</m:t>
        </m:r>
      </m:oMath>
      <w:r w:rsidRPr="00ED5C84">
        <w:t xml:space="preserve"> ist</w:t>
      </w:r>
      <w:r>
        <w:t>, ist</w:t>
      </w:r>
      <w:r w:rsidRPr="00ED5C84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5C84">
        <w:t xml:space="preserve"> ein gültiger Ciphertext von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5C84">
        <w:t>.</w:t>
      </w:r>
    </w:p>
    <w:p w:rsidR="000B2250" w:rsidRPr="000B2250" w:rsidRDefault="000B2250" w:rsidP="000B2250"/>
    <w:p w:rsidR="000B2250" w:rsidRDefault="00ED5C84" w:rsidP="00ED5C84">
      <w:pPr>
        <w:pStyle w:val="berschrift1"/>
      </w:pPr>
      <w:r>
        <w:t>Übersicht über Teilhomomorphe Algorithmen</w:t>
      </w:r>
    </w:p>
    <w:tbl>
      <w:tblPr>
        <w:tblW w:w="90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35"/>
        <w:gridCol w:w="4535"/>
      </w:tblGrid>
      <w:tr w:rsidR="00ED5C84" w:rsidRPr="00ED5C84" w:rsidTr="00ED5C84">
        <w:trPr>
          <w:trHeight w:val="567"/>
        </w:trPr>
        <w:tc>
          <w:tcPr>
            <w:tcW w:w="4535" w:type="dxa"/>
            <w:tcBorders>
              <w:top w:val="single" w:sz="8" w:space="0" w:color="4D7620"/>
              <w:left w:val="nil"/>
              <w:bottom w:val="single" w:sz="8" w:space="0" w:color="4D762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5C84" w:rsidRPr="00ED5C84" w:rsidRDefault="00ED5C84" w:rsidP="00ED5C84">
            <w:r w:rsidRPr="00ED5C84">
              <w:rPr>
                <w:b/>
                <w:bCs/>
              </w:rPr>
              <w:t>Algorithmus</w:t>
            </w:r>
          </w:p>
        </w:tc>
        <w:tc>
          <w:tcPr>
            <w:tcW w:w="4535" w:type="dxa"/>
            <w:tcBorders>
              <w:top w:val="single" w:sz="8" w:space="0" w:color="4D7620"/>
              <w:left w:val="nil"/>
              <w:bottom w:val="single" w:sz="8" w:space="0" w:color="4D762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5C84" w:rsidRPr="00ED5C84" w:rsidRDefault="00ED5C84" w:rsidP="00ED5C84">
            <w:r w:rsidRPr="00ED5C84">
              <w:rPr>
                <w:b/>
                <w:bCs/>
              </w:rPr>
              <w:t>Homomorphie Eigenschaft</w:t>
            </w:r>
          </w:p>
        </w:tc>
      </w:tr>
      <w:tr w:rsidR="00ED5C84" w:rsidRPr="00ED5C84" w:rsidTr="00ED5C84">
        <w:trPr>
          <w:trHeight w:val="567"/>
        </w:trPr>
        <w:tc>
          <w:tcPr>
            <w:tcW w:w="4535" w:type="dxa"/>
            <w:tcBorders>
              <w:top w:val="single" w:sz="8" w:space="0" w:color="4D7620"/>
              <w:left w:val="nil"/>
              <w:bottom w:val="nil"/>
              <w:right w:val="nil"/>
            </w:tcBorders>
            <w:shd w:val="clear" w:color="auto" w:fill="E9E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5C84" w:rsidRPr="00ED5C84" w:rsidRDefault="00ED5C84" w:rsidP="00ED5C84">
            <w:r w:rsidRPr="00ED5C84">
              <w:t>RSA</w:t>
            </w:r>
          </w:p>
        </w:tc>
        <w:tc>
          <w:tcPr>
            <w:tcW w:w="4535" w:type="dxa"/>
            <w:tcBorders>
              <w:top w:val="single" w:sz="8" w:space="0" w:color="4D7620"/>
              <w:left w:val="nil"/>
              <w:bottom w:val="nil"/>
              <w:right w:val="nil"/>
            </w:tcBorders>
            <w:shd w:val="clear" w:color="auto" w:fill="E9E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5C84" w:rsidRPr="00ED5C84" w:rsidRDefault="00ED5C84" w:rsidP="00ED5C84">
            <w:r w:rsidRPr="00ED5C84">
              <w:t>multiplikativ homomorph</w:t>
            </w:r>
          </w:p>
        </w:tc>
      </w:tr>
      <w:tr w:rsidR="00ED5C84" w:rsidRPr="00ED5C84" w:rsidTr="00ED5C84">
        <w:trPr>
          <w:trHeight w:val="567"/>
        </w:trPr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5C84" w:rsidRPr="00ED5C84" w:rsidRDefault="00ED5C84" w:rsidP="00ED5C84">
            <w:proofErr w:type="spellStart"/>
            <w:r w:rsidRPr="00ED5C84">
              <w:t>Padded</w:t>
            </w:r>
            <w:proofErr w:type="spellEnd"/>
            <w:r w:rsidRPr="00ED5C84">
              <w:t xml:space="preserve"> RSA (OAEP)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5C84" w:rsidRPr="00ED5C84" w:rsidRDefault="00ED5C84" w:rsidP="00ED5C84">
            <w:r w:rsidRPr="00ED5C84">
              <w:t>nicht homomorph</w:t>
            </w:r>
          </w:p>
        </w:tc>
      </w:tr>
      <w:tr w:rsidR="00ED5C84" w:rsidRPr="00ED5C84" w:rsidTr="00ED5C84">
        <w:trPr>
          <w:trHeight w:val="567"/>
        </w:trPr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E9E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5C84" w:rsidRPr="00ED5C84" w:rsidRDefault="00ED5C84" w:rsidP="00ED5C84">
            <w:r w:rsidRPr="00ED5C84">
              <w:t>Goldwasser Micali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E9E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5C84" w:rsidRPr="00ED5C84" w:rsidRDefault="00ED5C84" w:rsidP="00ED5C84">
            <w:r w:rsidRPr="00ED5C84">
              <w:t>additiv homomorph</w:t>
            </w:r>
          </w:p>
        </w:tc>
      </w:tr>
      <w:tr w:rsidR="00ED5C84" w:rsidRPr="00ED5C84" w:rsidTr="00ED5C84">
        <w:trPr>
          <w:trHeight w:val="567"/>
        </w:trPr>
        <w:tc>
          <w:tcPr>
            <w:tcW w:w="4535" w:type="dxa"/>
            <w:tcBorders>
              <w:top w:val="nil"/>
              <w:left w:val="nil"/>
              <w:bottom w:val="single" w:sz="8" w:space="0" w:color="4D762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5C84" w:rsidRPr="00ED5C84" w:rsidRDefault="00ED5C84" w:rsidP="00ED5C84">
            <w:r w:rsidRPr="00ED5C84">
              <w:t>Paillier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4D762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5C84" w:rsidRPr="00ED5C84" w:rsidRDefault="00ED5C84" w:rsidP="00ED5C84">
            <w:r w:rsidRPr="00ED5C84">
              <w:t>additiv homomorph</w:t>
            </w:r>
          </w:p>
        </w:tc>
      </w:tr>
    </w:tbl>
    <w:p w:rsidR="00ED5C84" w:rsidRPr="00ED5C84" w:rsidRDefault="00ED5C84" w:rsidP="00ED5C84"/>
    <w:p w:rsidR="000B2250" w:rsidRDefault="00ED5C84" w:rsidP="00ED5C84">
      <w:pPr>
        <w:pStyle w:val="berschrift1"/>
      </w:pPr>
      <w:r>
        <w:t>Vollhomomorphe Verschlüsselungen</w:t>
      </w:r>
    </w:p>
    <w:p w:rsidR="00ED5C84" w:rsidRPr="00ED5C84" w:rsidRDefault="00ED5C84" w:rsidP="00ED5C84">
      <w:r w:rsidRPr="00ED5C84">
        <w:t xml:space="preserve">Eine Funktion behält die Ringstruktur von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 +,  *</m:t>
            </m:r>
          </m:e>
        </m:d>
      </m:oMath>
      <w:r w:rsidRPr="00ED5C84">
        <w:t xml:space="preserve"> bei.</w:t>
      </w:r>
      <w:r>
        <w:t xml:space="preserve"> </w:t>
      </w:r>
      <w:r w:rsidRPr="00ED5C84">
        <w:t xml:space="preserve">Also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f(R), +,  *</m:t>
            </m:r>
          </m:e>
        </m:d>
      </m:oMath>
      <w:r w:rsidRPr="00ED5C84">
        <w:t xml:space="preserve"> ist immer noch ein Ring, wenn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ED5C84">
        <w:t xml:space="preserve"> vollhomomorph ist</w:t>
      </w:r>
      <w:r>
        <w:t>.</w:t>
      </w:r>
    </w:p>
    <w:p w:rsidR="00ED5C84" w:rsidRPr="00ED5C84" w:rsidRDefault="00ED5C84" w:rsidP="00ED5C84">
      <w:r>
        <w:t>Das heißt bei einer Vollhomomorphen Verschlüsselung können Additionen und Multiplikationen durchgeführt werden.</w:t>
      </w:r>
    </w:p>
    <w:p w:rsidR="00ED5C84" w:rsidRPr="00ED5C84" w:rsidRDefault="00ED5C84" w:rsidP="00ED5C84">
      <w:proofErr w:type="spellStart"/>
      <w:r w:rsidRPr="00ED5C84">
        <w:t>Gentry‘s</w:t>
      </w:r>
      <w:proofErr w:type="spellEnd"/>
      <w:r w:rsidRPr="00ED5C84">
        <w:t xml:space="preserve"> Algorithmus (2009) war der erste </w:t>
      </w:r>
      <w:proofErr w:type="spellStart"/>
      <w:r w:rsidRPr="00ED5C84">
        <w:t>vollhomomorphe</w:t>
      </w:r>
      <w:proofErr w:type="spellEnd"/>
      <w:r w:rsidRPr="00ED5C84">
        <w:t xml:space="preserve"> Verschlüsselungsalgorithmus, mit Verwendung von Zahlengittern.</w:t>
      </w:r>
      <w:r>
        <w:t xml:space="preserve"> Seine </w:t>
      </w:r>
      <w:r w:rsidRPr="00ED5C84">
        <w:t>Laufzeitkomplexität</w:t>
      </w:r>
      <w:r>
        <w:t xml:space="preserve"> ist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:rsidR="00ED5C84" w:rsidRPr="00ED5C84" w:rsidRDefault="00ED5C84" w:rsidP="00ED5C84">
      <w:pPr>
        <w:pStyle w:val="berschrift2"/>
      </w:pPr>
      <w:r>
        <w:t>Aktuelle Laufzeiten</w:t>
      </w:r>
    </w:p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ED5C84" w:rsidRPr="00ED5C84" w:rsidTr="00ED5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ED5C84" w:rsidRPr="00ED5C84" w:rsidRDefault="00ED5C84" w:rsidP="007F4269">
            <w:r w:rsidRPr="00ED5C84">
              <w:t>Energieverbrauch Profilklassifikation</w:t>
            </w:r>
          </w:p>
        </w:tc>
        <w:tc>
          <w:tcPr>
            <w:tcW w:w="3538" w:type="dxa"/>
          </w:tcPr>
          <w:p w:rsidR="00ED5C84" w:rsidRPr="00ED5C84" w:rsidRDefault="00ED5C84" w:rsidP="007F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 1 Sekunde</w:t>
            </w:r>
          </w:p>
        </w:tc>
      </w:tr>
      <w:tr w:rsidR="00ED5C84" w:rsidRPr="00ED5C84" w:rsidTr="00ED5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ED5C84" w:rsidRPr="00ED5C84" w:rsidRDefault="00ED5C84" w:rsidP="007F4269">
            <w:r w:rsidRPr="00ED5C84">
              <w:t>Verschiedene medizinische Diagnosen</w:t>
            </w:r>
          </w:p>
        </w:tc>
        <w:tc>
          <w:tcPr>
            <w:tcW w:w="3538" w:type="dxa"/>
          </w:tcPr>
          <w:p w:rsidR="00ED5C84" w:rsidRPr="00ED5C84" w:rsidRDefault="00ED5C84" w:rsidP="007F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2 Minuten</w:t>
            </w:r>
          </w:p>
        </w:tc>
      </w:tr>
      <w:tr w:rsidR="00ED5C84" w:rsidRPr="00ED5C84" w:rsidTr="00ED5C8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ED5C84" w:rsidRPr="00ED5C84" w:rsidRDefault="00ED5C84" w:rsidP="007F4269">
            <w:r w:rsidRPr="00ED5C84">
              <w:t>Gen-basierte Diagnosen</w:t>
            </w:r>
          </w:p>
        </w:tc>
        <w:tc>
          <w:tcPr>
            <w:tcW w:w="3538" w:type="dxa"/>
          </w:tcPr>
          <w:p w:rsidR="00ED5C84" w:rsidRPr="00ED5C84" w:rsidRDefault="00ED5C84" w:rsidP="007F4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10 Minuten</w:t>
            </w:r>
          </w:p>
        </w:tc>
      </w:tr>
      <w:tr w:rsidR="00ED5C84" w:rsidRPr="00ED5C84" w:rsidTr="00ED5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ED5C84" w:rsidRDefault="00ED5C84" w:rsidP="007F4269">
            <w:r w:rsidRPr="00ED5C84">
              <w:t>Lauflängenkodierung (bei 48 Kernen)</w:t>
            </w:r>
          </w:p>
          <w:p w:rsidR="00ED5C84" w:rsidRPr="00ED5C84" w:rsidRDefault="00ED5C84" w:rsidP="007F4269">
            <w:r w:rsidRPr="00ED5C84">
              <w:t>Zur Bild/Videokompression.</w:t>
            </w:r>
          </w:p>
        </w:tc>
        <w:tc>
          <w:tcPr>
            <w:tcW w:w="3538" w:type="dxa"/>
          </w:tcPr>
          <w:p w:rsidR="00ED5C84" w:rsidRPr="00ED5C84" w:rsidRDefault="00ED5C84" w:rsidP="007F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 30 Minuten</w:t>
            </w:r>
          </w:p>
        </w:tc>
      </w:tr>
    </w:tbl>
    <w:p w:rsidR="00ED5C84" w:rsidRDefault="00ED5C84" w:rsidP="00ED5C84"/>
    <w:p w:rsidR="00ED5C84" w:rsidRDefault="00ED5C84" w:rsidP="00ED5C84">
      <w:r w:rsidRPr="00ED5C84">
        <w:t xml:space="preserve">Komplexität basiert auf </w:t>
      </w:r>
      <w:r>
        <w:t xml:space="preserve">dem </w:t>
      </w:r>
      <w:r w:rsidRPr="00ED5C84">
        <w:t>Sicherheitslevel</w:t>
      </w:r>
      <w:r>
        <w:t xml:space="preserve"> der Daten, der Komplexität der Daten und der Optimierung.</w:t>
      </w:r>
    </w:p>
    <w:p w:rsidR="00ED5C84" w:rsidRDefault="00ED5C84" w:rsidP="00ED5C84">
      <w:pPr>
        <w:pStyle w:val="berschrift2"/>
      </w:pPr>
      <w:r>
        <w:t>Probleme</w:t>
      </w:r>
    </w:p>
    <w:p w:rsidR="00ED5C84" w:rsidRDefault="00ED5C84" w:rsidP="00ED5C84">
      <w:r>
        <w:t>Die Wahl geeigneter Parameter ist schwer. Außerdem sind bisherige Implementierungen nicht alltagstauglich, zum einen wegen der Geschwindigkeit der Algorithmen. Zum anderen ver</w:t>
      </w:r>
      <w:r w:rsidR="001173C5">
        <w:t>r</w:t>
      </w:r>
      <w:r>
        <w:t>auschen die Daten</w:t>
      </w:r>
      <w:r w:rsidR="001173C5">
        <w:t>. Bei Gentry zum Beispiel muss nach spätestens 30 Operationen eine Bereinigung durchgeführt werden, damit die Daten korrekt und lesbar bleiben.</w:t>
      </w:r>
    </w:p>
    <w:p w:rsidR="001173C5" w:rsidRDefault="001173C5" w:rsidP="00ED5C84">
      <w:r>
        <w:t>Auch in der Sicherheit gibt es einen Angriffspunkt. Die Verschlüsselungen sind mit Chosen-Ciphertext-Attacken angreifbar.</w:t>
      </w:r>
    </w:p>
    <w:p w:rsidR="001173C5" w:rsidRDefault="001173C5" w:rsidP="001173C5">
      <w:pPr>
        <w:pStyle w:val="berschrift1"/>
      </w:pPr>
      <w:r>
        <w:lastRenderedPageBreak/>
        <w:t>Hybrid-Homomorph</w:t>
      </w:r>
    </w:p>
    <w:p w:rsidR="001173C5" w:rsidRDefault="001173C5" w:rsidP="001173C5">
      <w:r>
        <w:t>Bei einem hybrid-homomorphen Verschlüsselungsalgorithmus, werden zwei verschiedene teilhomomorphe Verschlüsselungsalgorithmen verwendet. Zum einen eine additive homomorphe Verschlüsselung und eine multiplikativ homomorphe Verschlüsselung. In dem von uns gewählten Verfahren wurde Goldwasser-Micali als additive Variante gewählt und RSA als multiplikative Variante.</w:t>
      </w:r>
    </w:p>
    <w:p w:rsidR="001173C5" w:rsidRDefault="001173C5" w:rsidP="001173C5">
      <w:pPr>
        <w:pStyle w:val="berschrift2"/>
      </w:pPr>
      <w:r>
        <w:t>Ablauf</w:t>
      </w:r>
    </w:p>
    <w:p w:rsidR="001173C5" w:rsidRPr="001173C5" w:rsidRDefault="001173C5" w:rsidP="001173C5">
      <w:pPr>
        <w:numPr>
          <w:ilvl w:val="0"/>
          <w:numId w:val="3"/>
        </w:numPr>
      </w:pPr>
      <w:r w:rsidRPr="001173C5">
        <w:rPr>
          <w:lang w:val="de-DE"/>
        </w:rPr>
        <w:t>Erstellen der Keys für G. Micali</w:t>
      </w:r>
    </w:p>
    <w:p w:rsidR="001173C5" w:rsidRPr="001173C5" w:rsidRDefault="001173C5" w:rsidP="001173C5">
      <w:pPr>
        <w:numPr>
          <w:ilvl w:val="0"/>
          <w:numId w:val="3"/>
        </w:numPr>
      </w:pPr>
      <w:r w:rsidRPr="001173C5">
        <w:rPr>
          <w:lang w:val="de-DE"/>
        </w:rPr>
        <w:t>Verschlüsseln mittels G. Micali</w:t>
      </w:r>
    </w:p>
    <w:p w:rsidR="001173C5" w:rsidRPr="001173C5" w:rsidRDefault="001173C5" w:rsidP="001173C5">
      <w:pPr>
        <w:numPr>
          <w:ilvl w:val="0"/>
          <w:numId w:val="3"/>
        </w:numPr>
      </w:pPr>
      <w:r w:rsidRPr="001173C5">
        <w:rPr>
          <w:lang w:val="de-DE"/>
        </w:rPr>
        <w:t>Erstellen der Keys für RSA</w:t>
      </w:r>
    </w:p>
    <w:p w:rsidR="001173C5" w:rsidRPr="001173C5" w:rsidRDefault="001173C5" w:rsidP="001173C5">
      <w:pPr>
        <w:numPr>
          <w:ilvl w:val="0"/>
          <w:numId w:val="3"/>
        </w:numPr>
      </w:pPr>
      <w:r w:rsidRPr="001173C5">
        <w:rPr>
          <w:lang w:val="de-DE"/>
        </w:rPr>
        <w:t>Verschlüsseln mittels RSA</w:t>
      </w:r>
    </w:p>
    <w:p w:rsidR="001173C5" w:rsidRPr="001173C5" w:rsidRDefault="001173C5" w:rsidP="001173C5">
      <w:pPr>
        <w:numPr>
          <w:ilvl w:val="0"/>
          <w:numId w:val="3"/>
        </w:numPr>
      </w:pPr>
      <w:r w:rsidRPr="001173C5">
        <w:rPr>
          <w:lang w:val="de-DE"/>
        </w:rPr>
        <w:t>Durchführen der Operationen</w:t>
      </w:r>
    </w:p>
    <w:p w:rsidR="001173C5" w:rsidRPr="001173C5" w:rsidRDefault="001173C5" w:rsidP="001173C5">
      <w:pPr>
        <w:numPr>
          <w:ilvl w:val="0"/>
          <w:numId w:val="3"/>
        </w:numPr>
      </w:pPr>
      <w:r w:rsidRPr="001173C5">
        <w:rPr>
          <w:lang w:val="de-DE"/>
        </w:rPr>
        <w:t>Entschlüsseln mittels RSA</w:t>
      </w:r>
    </w:p>
    <w:p w:rsidR="001173C5" w:rsidRPr="001173C5" w:rsidRDefault="001173C5" w:rsidP="001173C5">
      <w:pPr>
        <w:numPr>
          <w:ilvl w:val="0"/>
          <w:numId w:val="3"/>
        </w:numPr>
      </w:pPr>
      <w:r w:rsidRPr="001173C5">
        <w:rPr>
          <w:lang w:val="de-DE"/>
        </w:rPr>
        <w:t>Entschlüsseln mittels G. Micali</w:t>
      </w:r>
    </w:p>
    <w:p w:rsidR="001173C5" w:rsidRDefault="001173C5" w:rsidP="001173C5">
      <w:r>
        <w:t>Aufpassen muss man hier nur, dass wenn zuerst mit Goldwasser-Micali verschlüsselt wird und dann mit RSA. Dann muss bei der Entschlüsselung zuerst mit RSA entschlüsselt und dann mit Goldwasser-Micali entschlüsselt w</w:t>
      </w:r>
      <w:bookmarkStart w:id="0" w:name="_GoBack"/>
      <w:bookmarkEnd w:id="0"/>
      <w:r>
        <w:t>erden.</w:t>
      </w:r>
    </w:p>
    <w:p w:rsidR="001173C5" w:rsidRDefault="001173C5" w:rsidP="001173C5">
      <w:pPr>
        <w:pStyle w:val="berschrift1"/>
      </w:pPr>
      <w:r>
        <w:t xml:space="preserve">Vor- und Nachteile </w:t>
      </w:r>
    </w:p>
    <w:p w:rsidR="001173C5" w:rsidRDefault="001173C5" w:rsidP="001173C5">
      <w:r>
        <w:t>Nachteile:</w:t>
      </w:r>
    </w:p>
    <w:p w:rsidR="001173C5" w:rsidRDefault="001173C5" w:rsidP="001173C5">
      <w:pPr>
        <w:pStyle w:val="Listenabsatz"/>
        <w:numPr>
          <w:ilvl w:val="0"/>
          <w:numId w:val="1"/>
        </w:numPr>
      </w:pPr>
      <w:r>
        <w:t>Sehr hohe Laufzeiten</w:t>
      </w:r>
    </w:p>
    <w:p w:rsidR="001173C5" w:rsidRDefault="001173C5" w:rsidP="001173C5">
      <w:pPr>
        <w:pStyle w:val="Listenabsatz"/>
        <w:numPr>
          <w:ilvl w:val="0"/>
          <w:numId w:val="1"/>
        </w:numPr>
      </w:pPr>
      <w:r>
        <w:t>Große Rechnerkapazitäten werden benötigt</w:t>
      </w:r>
    </w:p>
    <w:p w:rsidR="001173C5" w:rsidRDefault="001173C5" w:rsidP="001173C5">
      <w:pPr>
        <w:pStyle w:val="Listenabsatz"/>
        <w:numPr>
          <w:ilvl w:val="0"/>
          <w:numId w:val="1"/>
        </w:numPr>
      </w:pPr>
      <w:r>
        <w:t>Bei der Anwendung, ist die gültige Rechtsprechung, abhängig vom Standort der Server</w:t>
      </w:r>
    </w:p>
    <w:p w:rsidR="001173C5" w:rsidRDefault="001173C5" w:rsidP="001173C5">
      <w:r>
        <w:t>Vorteile:</w:t>
      </w:r>
    </w:p>
    <w:p w:rsidR="001173C5" w:rsidRDefault="001173C5" w:rsidP="001173C5">
      <w:pPr>
        <w:pStyle w:val="Listenabsatz"/>
        <w:numPr>
          <w:ilvl w:val="0"/>
          <w:numId w:val="1"/>
        </w:numPr>
      </w:pPr>
      <w:r>
        <w:t>Gewinn an Datenschutz</w:t>
      </w:r>
    </w:p>
    <w:p w:rsidR="001173C5" w:rsidRDefault="001173C5" w:rsidP="001173C5">
      <w:pPr>
        <w:pStyle w:val="Listenabsatz"/>
        <w:numPr>
          <w:ilvl w:val="0"/>
          <w:numId w:val="1"/>
        </w:numPr>
      </w:pPr>
      <w:r>
        <w:t>Mobilität</w:t>
      </w:r>
    </w:p>
    <w:p w:rsidR="001173C5" w:rsidRPr="001173C5" w:rsidRDefault="001173C5" w:rsidP="001173C5">
      <w:pPr>
        <w:pStyle w:val="Listenabsatz"/>
        <w:numPr>
          <w:ilvl w:val="0"/>
          <w:numId w:val="1"/>
        </w:numPr>
      </w:pPr>
      <w:r>
        <w:t>Outsourcing</w:t>
      </w:r>
    </w:p>
    <w:sectPr w:rsidR="001173C5" w:rsidRPr="001173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27AE"/>
    <w:multiLevelType w:val="hybridMultilevel"/>
    <w:tmpl w:val="F38A816E"/>
    <w:lvl w:ilvl="0" w:tplc="D73A854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638C61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40663D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FC0208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ABC8CA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D5EE32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2F412A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44012C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728D2D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3F351970"/>
    <w:multiLevelType w:val="hybridMultilevel"/>
    <w:tmpl w:val="274E6340"/>
    <w:lvl w:ilvl="0" w:tplc="EDC06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AA8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547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FCB0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C9E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FC4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404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C26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D2A8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94A7E"/>
    <w:multiLevelType w:val="hybridMultilevel"/>
    <w:tmpl w:val="7B140A04"/>
    <w:lvl w:ilvl="0" w:tplc="63B6C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2D"/>
    <w:rsid w:val="000B2250"/>
    <w:rsid w:val="001173C5"/>
    <w:rsid w:val="001823D1"/>
    <w:rsid w:val="0047502D"/>
    <w:rsid w:val="00891032"/>
    <w:rsid w:val="00A71D45"/>
    <w:rsid w:val="00C67830"/>
    <w:rsid w:val="00DA1337"/>
    <w:rsid w:val="00ED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E8AF"/>
  <w15:chartTrackingRefBased/>
  <w15:docId w15:val="{68400626-C2FA-4D43-A8FE-7D018661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1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1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502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1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1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ED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ellenraster">
    <w:name w:val="Table Grid"/>
    <w:basedOn w:val="NormaleTabelle"/>
    <w:uiPriority w:val="39"/>
    <w:rsid w:val="00ED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6">
    <w:name w:val="Grid Table 2 Accent 6"/>
    <w:basedOn w:val="NormaleTabelle"/>
    <w:uiPriority w:val="47"/>
    <w:rsid w:val="00ED5C8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477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594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157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536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16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72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32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86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Kohler</dc:creator>
  <cp:keywords/>
  <dc:description/>
  <cp:lastModifiedBy>Tanja Kohler</cp:lastModifiedBy>
  <cp:revision>2</cp:revision>
  <dcterms:created xsi:type="dcterms:W3CDTF">2019-06-20T12:04:00Z</dcterms:created>
  <dcterms:modified xsi:type="dcterms:W3CDTF">2019-06-21T12:34:00Z</dcterms:modified>
</cp:coreProperties>
</file>