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Strict cryptographic SHA-256 deduplication guarantees that no binary executable appears in more than one partition (\text{Train} \cap \text{Val} = \emptyset, \text{Train} \cap \text{Test} = \emptyset, \text{Val} \cap \text{Test} = \emptyset). In addition to overall test metrics, we conduct a dedicated single-family holdout evaluation on the 157 held-out test binaries belonging to the ransomware_wannacry lineage (Section sec:generalization), verifying that the 157 test binaries are strictly disjoint by hash from the training cohort and evaluating family-specific recall and confidence calibration.</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one was independently reimplemented based on published malware detection specifications (MalConv), and two representation/similarity models (Asm2Vec and Gemini) were reimplemented and adapted for supervised binary classification:</w:t>
      </w:r>
    </w:p>
    <w:p>
      <w:r>
        <w:t>• Opcode Transformer Only (Internally Reproduced): Unimodal static token baseline (d_{\text{model}} = 128, 4 layers) with masked mean pooling and linear classification head.</w:t>
        <w:br/>
        <w:t xml:space="preserve">    • CFG-GIN Only (Internally Reproduced): Unimodal graph neural network baseline (K = 3 layers) over inter-procedural CFGs with sum pooling.</w:t>
        <w:br/>
        <w:t xml:space="preserve">    • Syscall Bi-LSTM Only (Internally Reproduced): Unimodal dynamic behavioral trace baseline (2 layers) over logged API call sequences.</w:t>
        <w:br/>
        <w:t xml:space="preserve">    • Concat MLP / Early Fusion (Internally Reproduced): Direct feature vector concatenation (3 \times 128 = 384 dim) without InfoNCE alignment or Volumetric GRAM regularization.</w:t>
        <w:br/>
        <w:t xml:space="preserve">    • MalConv Gated CNN (Reimplemented Benchmark): Byte-level convolutional network (filter size 500, kernel size 8) with temporal global max-pooling and a 128-dimensional dense classifier, reimplemented based on Gibert et al. [Gibert2020].</w:t>
        <w:br/>
        <w:t xml:space="preserve">    • Gemini Structure2Vec (Adapted &amp; Reimplemented): Originally designed for binary code similarity search [Kim2023Revisiting], adapted for malware detection by extracting Attributed Control Flow Graphs (ACFGs), computing Structure2Vec message-passing embeddings (d = 128), and appending a 2-layer MLP classification head trained via cross-entropy.</w:t>
        <w:br/>
        <w:t xml:space="preserve">    • Asm2Vec Word2Vec (Adapted &amp; Reimplemented): Originally proposed for assembly function similarity [BinCola2024], adapted for classification by sampling assembly instruction token random walks to produce PV-DM document embeddings (d = 128), connected to a supervised 2-layer MLP classification head trained via cross-entropy.</w:t>
      </w:r>
    </w:p>
    <w:p>
      <w:r>
        <w:t>All models were trained on the identical 7,000 training partition binaries, validated on the 1,500 validation binaries, and evaluated at decision threshold \theta = 0.50 on the identical 1,500 held-out test partition tensors.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within specific families, a targeted single-family holdout evaluation was conducted on the 157 held-out test binaries belonging to the ransomware_wannacry family lineage (Table tab:family_holdout). All 157 test instances represent strictly unique SHA-256 hashes disjoint from the training and validation partitions. The tri-modal architecture achieved 100.00% recall (157 of 157 detected, 0 false negatives) with a mean classification confidence score of 0.9297 (Fig. fig:wannacry_holdout). We explicitly note that shared inductive priors (e.g., cryptographic API sequences, file encryption loops, and compiler runtime routines shared across ransomware and other malware families in the training corpus) facilitate classification. Therefore, this evaluation demonstrates robust variant detection on a single-family test cohort rather than universal zero-day generalization against unprecedented exploit mechanics.</w:t>
      </w:r>
    </w:p>
    <w:p>
      <w:r>
        <w:t>[TABLE INSERTED HERE]</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(Table tab:temporal_evaluation).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[TABLE INSERTED HERE]</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on unseen instances within a specific family lineage under strict SHA-256 hash disjointness. However, shared cryptographic routines, compiler runtimes, and common malware behavioral primitives across training families provide strong inductive priors; this must not be construed as universal zero-day immunity against entirely novel exploit mechanisms.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