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peer-reviewed journal benchmark studies (13 primary empirical investigations and 2 benchmark synthesis reviews) across five bibliographic and publisher search platforms (IEEE Xplore, ACM Digital Library, ScienceDirect, SpringerLink, Wiley Online Library, with Scopus indexing verification).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100.00% precision, and 99.46% recall on the 1,500 held-out test binaries (740 TP, 756 TN, 4 FN, 0 FP). Under a single-family sample holdout protocol on 157 WannaCry test binaries, it attains 100.00% recall with 0.9297 mean confidence. Under UPX packing, accuracy drops to 88.00% with a 24.00% false positive rate on packed benign binaries, while dead-code insertion causes a 40.00% false negative rate, establishing explicit operational boundaries. Neural forward latency is 28.87 ms on CPU (total static ingestion and triage latency: 76.90 ms); a two-stage triage filter resolves 86.2% of binaries in Stage 1 (17.53 ms neural inference), bypassing costly dynamic sandbox detonation for 86.2% of samples.</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bibliographic/publisher databases and indexing platforms (n = 842 initial records, 15 included peer-reviewed journal benchmark studies comprising 13 primary empirical investigations and 2 benchmark synthesis reviews, inter-rater reliability \kappa = 0.88),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(100.00% specificity) and four false negatives (0.54% FNR).</w:t>
        <w:br/>
        <w:t xml:space="preserve">    • Controlled Ablation and Robustness Evaluation: Five controlled component ablations isolating the marginal contribution of each modality and alignment objective (\Delta\text{F1} ranging from -0.0296 for GRAM removal to -0.0744 for Opcode Transformer removal), accompanied by stress-testing across four adversarial code transformations (UPX packing, dead-code insertion, control-flow flattening, and sandbox stalling) evaluated alongside an unperturbed clean baseline.</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In cyber-physical and power grid infrastructures, machine learning-driven anomaly detection has demonstrated critical defensive utility against false-data injection and network-level intrusion [Almalaq2023Power,Almalaq2022Deep,Alnowibet2021Energy].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bibliographic/publisher databases and indexing platforms were searched: IEEE Xplore, ACM Digital Library, ScienceDirect (Elsevier), SpringerLink, and Wiley Online Library (with Crossref metadata and Scopus indexing cross-verification).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across orthogonal representation spaces (static lexical/token sequences, static/dynamic topological graphs, dynamic behavioral traces, and structural/declarative metadata);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or single-space feature variations (e.g., combining multiple static n-gram lengths without cross-space multimodal fusion);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peer-reviewed journal benchmark studies were retained: 13 primary empirical investigations and 2 benchmark synthesis reviews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simulated chronological partitions, and single-family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pooling aggregates node embeddings: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determinant \det(\mathbf{G}) corresponds to the squared volume of the parallelotope spanned by \{\mathbf{z}_{\text{op}}, \mathbf{z}_{\text{cfg}}, \mathbf{z}_{\text{sys}}\} in \mathbb{R}^{d}. If the modalities collapse to collinearity, \det(\mathbf{G}) \to 0. The Volumetric GRAM loss with numerical stabilizer \epsilon = 10^{-4} penalizes rank deficiency:</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hyperparameters \lambda_{\text{align}} = 0.10 and \lambda_{\text{GRAM}} = 0.05.</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(50.00% : 50.00% balance). The held-out test split comprises 756 benign and 744 malware binaries (50.40% : 49.60%).</w:t>
        <w:br/>
        <w:t xml:space="preserve">    • Family-Level Distribution and Leakage Analysis: While strict cryptographic SHA-256 deduplication guarantees that no binary executable appears in more than one partition, in-distribution test binaries inevitably share common malware family lineages (e.g., Emotet, TrickBot, AgentTesla) with the training cohort. While standard in randomized stratified benchmarks, this allows neural models to potentially leverage family-specific compiler idioms. To explicitly audit model behavior when family-level lineage is completely withheld, we deliberately supplement the random test partition with a dedicated single-family sample holdout protocol (Section sec:generalization), completely withholding all 157 binaries of ransomware_wannacry during training.</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Seven baseline architectures were evaluated on the exact same 1,500 held-out test binaries: four were reproduced internally from native repository components (Opcode Transformer, CFG-GIN, Syscall Bi-LSTM, and Concat MLP), while three were independently reimplemented based on their published architectural specifications (MalConv, Gemini, and Asm2Vec) and executed on the identical evaluation tensors:</w:t>
      </w:r>
    </w:p>
    <w:p>
      <w:r>
        <w:t>• Opcode Transformer Only (Internally Reproduced): Unimodal static token baseline (d_{\text{model}} = 128, 4 layers) with masked mean pooling.</w:t>
        <w:br/>
        <w:t xml:space="preserve">    • CFG-GIN Only (Internally Reproduced): Unimodal graph neural network baseline (K = 3 layers) over inter-procedural CFGs.</w:t>
        <w:br/>
        <w:t xml:space="preserve">    • Syscall Bi-LSTM Only (Internally Reproduced): Unimodal dynamic behavioral trace baseline (2 layers) over logged API call sequences.</w:t>
        <w:br/>
        <w:t xml:space="preserve">    • Concat MLP / Early Fusion (Internally Reproduced): Direct feature vector concatenation without InfoNCE alignment or Volumetric GRAM regularization.</w:t>
        <w:br/>
        <w:t xml:space="preserve">    • MalConv Gated CNN (Reimplemented Benchmark): Byte-level convolutional network with temporal max-pooling reimplemented based on Gibert et al. [Gibert2020].</w:t>
        <w:br/>
        <w:t xml:space="preserve">    • Gemini Structure2Vec (Reimplemented Benchmark): Graph embedding baseline for binary similarity reimplemented from published specifications [Kim2023Revisiting].</w:t>
        <w:br/>
        <w:t xml:space="preserve">    • Asm2Vec Word2Vec (Reimplemented Benchmark): Assembly instruction co-occurrence representation baseline reimplemented based on Zhao et al. [BinCola2024].</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100.00%, recall of 99.46%, and F1-score of 0.9973 at default decision threshold \theta = 0.50 (Table tab:benchmark_comparison and Fig. fig:confusion_matrix). Exactly four false negatives were observed, with zero false positives. Because precision is 100.00% and false alarms are zero, the positive-class F1-score (0.9973) and macro-averaged F1-score (0.9973) are identical.</w:t>
      </w:r>
    </w:p>
    <w:p>
      <w:r>
        <w:t>[TABLE INSERTED HERE]</w:t>
      </w:r>
    </w:p>
    <w:p>
      <w:r>
        <w:t>[FIGURE INSERTED HERE]</w:t>
      </w:r>
    </w:p>
    <w:p>
      <w:r>
        <w:t>The Wilson score 95% confidence interval for test accuracy is [99.32%, 99.90%] (bootstrap 95% CI: [99.47%, 99.93%]). For F1-score (positive-class F1: 0.9973; macro-averaged F1: 0.9973), the Wilson interval is [0.9931, 0.9989] (bootstrap 95% CI: [0.9946, 0.9993]). Model discrimination achieves a Receiver Operating Characteristic Area Under Curve (\text{ROC-AUC} = 1.0000) and Precision-Recall Area Under Curve (\text{PR-AUC} =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randomized stratified splits, two targeted validation protocols were conducted:</w:t>
      </w:r>
    </w:p>
    <w:p>
      <w:pPr>
        <w:spacing w:before="200" w:after="80"/>
      </w:pPr>
      <w:r>
        <w:rPr>
          <w:rFonts w:ascii="Times New Roman" w:hAnsi="Times New Roman"/>
          <w:b/>
          <w:color w:val="1E293B"/>
          <w:sz w:val="24"/>
        </w:rPr>
        <w:t>12.1 Single-Family Sample Holdout Protocol</w:t>
      </w:r>
    </w:p>
    <w:p>
      <w:r>
        <w:t>To evaluate sensitivity to malware variants whose specific strain was completely withheld from training, all 157 binaries belonging to the ransomware_wannacry family were excluded from the training and validation cohorts and evaluated strictly at test inference. The tri-modal model achieved 100.00% recall (157 of 157 detected) with a mean classification confidence score of 0.9297 (Fig. fig:wannacry_holdout). While this demonstrates robust variant detection within a held-out ransomware strain, we explicitly note that shared inductive priors (e.g., cryptographic API calls and packer runtime routines shared across other ransomware strains in the training set) facilitate classification. Therefore, this result reflects a single-family sample holdout rather than universal zero-day generalization.</w:t>
      </w:r>
    </w:p>
    <w:p>
      <w:pPr>
        <w:spacing w:before="200" w:after="80"/>
      </w:pPr>
      <w:r>
        <w:rPr>
          <w:rFonts w:ascii="Times New Roman" w:hAnsi="Times New Roman"/>
          <w:b/>
          <w:color w:val="1E293B"/>
          <w:sz w:val="24"/>
        </w:rPr>
        <w:t>12.2 Simulated Chronological Partition Evaluation</w:t>
      </w:r>
    </w:p>
    <w:p>
      <w:r>
        <w:t>To assess stability across simulated longitudinal acquisition periods, the test cohort was partitioned into four chronological windows of 375 samples each. Empirical test accuracies remained stable across partitions: 99.47% (Window 1), 100.00% (Window 2), 99.73% (Window 3), and 99.73% (Window 4), yielding a minimal observed F1 shift of \Delta\text{F1} = -0.0028. Crucially, as disclosed in Section sec:validity, these chronological timestamps were assigned based on catalog simulation metadata rather than longitudinal real-world deployment telemetry. Consequently, these results must be interpreted as a simulated chronological partition evaluation rather than genuine multi-year prospective temporal drift validation.</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88.00% with a 24.00% false positive rate on packed benign executables (120/500), caused by compression entropy elevation (&gt;7.2 bits/byte). Attention reweights from opcode (0.389) to syscalls (0.343).</w:t>
        <w:br/>
        <w:t xml:space="preserve">    • Dead-Code Insertion (Failure Case Disclosed): Accuracy drops to 80.00% with a 40.00% false negative rate (200/500 missed) due to token sequence flooding displacing informative prologue opcodes.</w:t>
        <w:br/>
        <w:t xml:space="preserve">    • CFG Flattening &amp; Stalling: Model retains 96.00% accuracy under CFF and 98.00%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 and End-to-End Latency</w:t>
      </w:r>
    </w:p>
    <w:p>
      <w:r>
        <w:t>A crucial methodological requirement in operational cybersecurity is rigorously delineating neural inference latency from end-to-end binary analysis latency. Table tab:end_to_end_latency provides a complete stage-by-stage latency profile decomposing static ingestion, neural forward passes, and dynamic execution paths.</w:t>
      </w:r>
    </w:p>
    <w:p>
      <w:r>
        <w:t>[TABLE INSERTED HERE]</w:t>
      </w:r>
    </w:p>
    <w:p>
      <w:r>
        <w:t>As demonstrated in Table tab:end_to_end_latency, isolated neural forward execution requires 28.87 ms for the tri-modal architecture (34.6 samples/sec) and 17.53 ms for Stage 1 fast static triage (57.0 samples/sec) (Fig. fig:latency_triage). However, complete binary ingestion requires PE parsing (1.20 ms), disassembly (12.40 ms), and CFG generation (45.60 ms), yielding an end-to-end static path latency of 76.90 ms. In stark contrast, full dynamic behavioral analysis requires guest-VM provisioning and execution timeouts ranging from 30 to 120 seconds (30,000\text{--}120,000 ms) per binary. The proposed operational triage mechanism bridges this gap: by resolving 86.2% of binaries exclusively through the 76.90 ms static path with 99.23% accuracy, it prevents dynamic sandbox queue exhaustion, routing only the 13.8% ambiguous samples to VM detonation.</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24.00% FPR.</w:t>
        <w:br/>
        <w:t xml:space="preserve">    • Dead-Code Truncation: Sequence flooding pushes API calls beyond the 2048 token budget (40.00% FNR).</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 Static preprocessing (59.35 ms) and dynamic guest-VM detonation (30\text{--}120 s) vary across host virtualization environments.</w:t>
        <w:br/>
        <w:t xml:space="preserve">    • Simulated Chronological Partitions: Chronological timestamps were assigned based on catalog simulation metadata rather than longitudinal real-world telemetry; prospective temporal drift under evolving malware ecologies remains unmeasured.</w:t>
        <w:br/>
        <w:t xml:space="preserve">    • Single-Family Holdout Constraint: The 157-sample WannaCry evaluation tests variant detection when a specific strain is withheld from training. However, shared cryptographic routines and compiler runtimes across other training families provide inductive priors; it does not establish universal zero-day immunity.</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achieves substantially higher observed detection performance than unimodal detection. While individual unimodal branches achieve accuracies between 80.07% and 86.47%, the joint tri-modal framework reaches 99.73%. This performance gain stems from the geometric synergy enforced by pairwise InfoNCE alignment and Volumetric Gramian regularization, which prevents modality collapse and preserves orthogonal semantic capacity. Furthermore, dynamic attention weights serve as an adaptive defense: when static token sequences are distorted by packing or instruction padding, the architecture dynamically upweights dynamic behavioral traces. Crucially, the two-stage operational triage filter resolves 86.2% of samples within the 76.90 ms static ingestion path, successfully insulating high-cost dynamic sandbox queues from throughput collapse.</w:t>
      </w:r>
    </w:p>
    <w:p>
      <w:pPr>
        <w:spacing w:before="280" w:after="120"/>
      </w:pPr>
      <w:r>
        <w:rPr>
          <w:rFonts w:ascii="Times New Roman" w:hAnsi="Times New Roman"/>
          <w:b/>
          <w:color w:val="1E3A8A"/>
          <w:sz w:val="28"/>
        </w:rPr>
        <w:t>18 Limitations</w:t>
      </w:r>
    </w:p>
    <w:p>
      <w:r>
        <w:t>Primary limitations include: (1) single-ISA Windows PE focus, which restricts direct application to ELF or Mach-O binaries; (2) sandbox queue dependence for the 13.8% deferred ambiguous cohort; (3) vulnerability of static opcodes to compression entropy under UPX packing (24.00% FPR on benign packed binaries); (4) sequence truncation under dead-code insertion (40.00% FNR); and (5) reliance on catalog simulation metadata for chronological partitioning rather than longitudinal prospective field data. Future research will explore intermediate compiler representations (e.g., LLVM IR) to achieve cross-ISA portability and evaluate longitudinal telemetry across multi-year enterprise deployments.</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peer-reviewed journal benchmark studies (13 primary empirical investigations and 2 benchmark synthesis reviews). By regularizing Opcode Transformers, CFG-GINs, and Syscall Bi-LSTMs via pairwise InfoNCE alignment and Volumetric Gramian loss, the architecture achieved 99.73% accuracy and 100.00% precision on 1,500 held-out test binaries, with 100.00% recall on a single-family WannaCry sample holdout. Transparent disclosure of failure modes under UPX packing (24.00% benign FPR) and dead-code insertion (40.00% FNR) establishes defensible operational boundaries for the evaluated enterprise deployment scenario.</w:t>
      </w:r>
    </w:p>
    <w:p>
      <w:pPr>
        <w:spacing w:before="280" w:after="120"/>
      </w:pPr>
      <w:r>
        <w:rPr>
          <w:rFonts w:ascii="Times New Roman" w:hAnsi="Times New Roman"/>
          <w:b/>
          <w:color w:val="1E3A8A"/>
          <w:sz w:val="28"/>
        </w:rPr>
        <w:t>20 Data and Code Availability</w:t>
      </w:r>
    </w:p>
    <w:p>
      <w:r>
        <w:t>The complete code repository, model checkpoints, tensor shards, and automated test suite are openly available at \url{https://github.com/kohlirupesh19/Multi-Model.git} on the dedicated publication-validation branch. The repository provides scripts and artifacts for reproducing the reported experiments (bash reproduce_all.sh or python3 reproduce_all.py). Dedicated verification audit ledgers and raw evaluation artifacts are provided in the repository's reports/ and results/verified/ directories.</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derived benchmark manifests, pre-computed feature shards, checkpoints, and evaluation scripts are available in the public repository. Due to security containment policies and third-party licensing constraints, raw executable binaries cannot be redistributed directly; they must be acquired from their primary archival repositories (VirusShare, VX-Underground) using the provided SHA-256 catalog manifests.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The derived experimental artifacts, benchmark manifests, pre-computed multimodal feature shards, model checkpoints, preprocessing code, and reproduction test suites are openly available at https://github.com/kohlirupesh19/Multi-Model.git on the dedicated publication-validation branch. The repository provides scripts and artifacts for reproducing the reported experiments (bash reproduce_all.sh or python3 reproduce_all.py). Due to security containment policies and third-party licensing constraints, raw executable binaries cannot be redistributed directly; they must be acquired from their primary archival repositories (VirusShare, VX-Underground) using the provided SHA-256 catalog manifests.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(2022).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(2022).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after="80"/>
        <w:ind w:left="360" w:hanging="360"/>
      </w:pPr>
      <w:r>
        <w:rPr>
          <w:b/>
        </w:rPr>
        <w:t xml:space="preserve">[27] </w:t>
      </w:r>
      <w:r>
        <w:t xml:space="preserve">Abdulaziz Almalaq and Saleh Albadran and Mohamed A. Mohamed (2023). An Adoptive Miner-Misuse Based Online Anomaly Detection Approach in the Power System: An Optimum Reinforcement Learning Method. </w:t>
      </w:r>
      <w:r>
        <w:rPr>
          <w:i/>
        </w:rPr>
        <w:t xml:space="preserve">Mathematics. </w:t>
      </w:r>
      <w:r>
        <w:rPr>
          <w:color w:val="2563EB"/>
        </w:rPr>
        <w:t>https://doi.org/10.3390/math11040884</w:t>
      </w:r>
    </w:p>
    <w:p>
      <w:pPr>
        <w:spacing w:after="80"/>
        <w:ind w:left="360" w:hanging="360"/>
      </w:pPr>
      <w:r>
        <w:rPr>
          <w:b/>
        </w:rPr>
        <w:t xml:space="preserve">[28] </w:t>
      </w:r>
      <w:r>
        <w:t xml:space="preserve">Abdulaziz Almalaq and Saleh Albadran and Mohamed Mohamed (2022). Deep Machine Learning Model-Based Cyber-Attacks Detection in Smart Power Systems. </w:t>
      </w:r>
      <w:r>
        <w:rPr>
          <w:i/>
        </w:rPr>
        <w:t xml:space="preserve">Mathematics. </w:t>
      </w:r>
      <w:r>
        <w:rPr>
          <w:color w:val="2563EB"/>
        </w:rPr>
        <w:t>https://doi.org/10.3390/math10152574</w:t>
      </w:r>
    </w:p>
    <w:p>
      <w:pPr>
        <w:spacing w:after="80"/>
        <w:ind w:left="360" w:hanging="360"/>
      </w:pPr>
      <w:r>
        <w:rPr>
          <w:b/>
        </w:rPr>
        <w:t xml:space="preserve">[29] </w:t>
      </w:r>
      <w:r>
        <w:t xml:space="preserve">Khalid Alnowibet and Andres Annuk and Anura Dampage and Mohamed A. Mohamed (2021). Effective Energy Management via False Data Detection Scheme for the Interconnected Smart Energy Hub--Microgrid System under Stochastic Framework. </w:t>
      </w:r>
      <w:r>
        <w:rPr>
          <w:i/>
        </w:rPr>
        <w:t xml:space="preserve">Sustainability. </w:t>
      </w:r>
      <w:r>
        <w:rPr>
          <w:color w:val="2563EB"/>
        </w:rPr>
        <w:t>https://doi.org/10.3390/su132111836</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