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0F172A"/>
          <w:sz w:val="36"/>
        </w:rPr>
        <w:t>Adaptive Tri-Modal Malware Detection with Contrastive Cross-Modal Representation Learning and Operational Triage</w:t>
      </w:r>
    </w:p>
    <w:p>
      <w:pPr>
        <w:spacing w:after="280"/>
        <w:jc w:val="center"/>
      </w:pPr>
      <w:r>
        <w:rPr>
          <w:b/>
          <w:sz w:val="22"/>
        </w:rPr>
        <w:t>Harish Parshuram Bhabad¹*, Atmeshkumar Subhashbhai Patel², Vijay M. Rakhade³, Rupesh Kohli⁴, Nandini S. Patel⁵</w:t>
        <w:br/>
      </w:r>
      <w:r>
        <w:rPr>
          <w:i/>
          <w:sz w:val="19"/>
        </w:rPr>
        <w:t>¹Department of Computer Engineering, Matoshri College of Engineering and Research Centre, Nashik, 422105, Maharashtra, India (*Corresponding Author: harish.bhabad@sitrc.org)</w:t>
        <w:br/>
        <w:t>²Department of Computer Science, Ganpat University, Mehsana, 384012, Gujarat, India</w:t>
        <w:br/>
        <w:t>³Department of Computer Engineering, Zeal College of Engineering and Research, Pune, 411041, Maharashtra, India</w:t>
        <w:br/>
        <w:t>⁴Independent Researcher, New Delhi, 110001, India</w:t>
        <w:br/>
        <w:t>⁵Department of Information Technology, Government Engineering College, Gandhinagar, 382028, Gujarat, India</w:t>
        <w:br/>
      </w:r>
    </w:p>
    <w:tbl>
      <w:tblPr>
        <w:tblW w:type="auto" w:w="0"/>
        <w:jc w:val="center"/>
        <w:tblLook w:firstColumn="1" w:firstRow="1" w:lastColumn="0" w:lastRow="0" w:noHBand="0" w:noVBand="1" w:val="04A0"/>
      </w:tblPr>
      <w:tblGrid>
        <w:gridCol w:w="9360"/>
      </w:tblGrid>
      <w:tr>
        <w:tc>
          <w:tcPr>
            <w:tcW w:type="dxa" w:w="9360"/>
            <w:shd w:val="clear" w:color="auto" w:fill="F8FAFC"/>
            <w:tcMar>
              <w:top w:w="140" w:type="dxa"/>
              <w:bottom w:w="140" w:type="dxa"/>
              <w:left w:w="180" w:type="dxa"/>
              <w:right w:w="180" w:type="dxa"/>
            </w:tcMar>
          </w:tcPr>
          <w:p>
            <w:r>
              <w:rPr>
                <w:b/>
                <w:sz w:val="22"/>
              </w:rPr>
              <w:t>Abstract</w:t>
              <w:br/>
            </w:r>
            <w:r>
              <w:rPr>
                <w:sz w:val="20"/>
              </w:rPr>
              <w:t>Single-modality binary analysis remains acutely vulnerable to adversarial evasion, including instruction substitution, control-flow flattening, and sandbox stalling. Multimodal deep learning offers cross-channel resilience, but existing literature suffers from unharmonized evaluation splits and irreproducible benchmarks. This study establishes a dual-contribution framework. First, following PRISMA 2020, we systematically review multimodal binary similarity analysis, auditing 15 primary peer-reviewed journal benchmark studies across five bibliographic and publisher search platforms (IEEE Xplore, ACM Digital Library, ScienceDirect, SpringerLink, Wiley Online Library, with Scopus indexing verification). Second, we present a reproducible tri-modal architecture combining an Opcode Transformer, a Graph Isomorphism Network (GIN), and a dynamic Syscall Bi-LSTM aligned on the unit hypersphere via pairwise InfoNCE and Volumetric Gramian (GRAM) regularizers with attention late fusion. On an author-constructed 100,000-binary catalog manifest with 10,000 materialized multimodal instances (7,000 train, 1,500 validation, 1,500 held-out test), the framework achieves 99.73% test accuracy (Wilson 95% CI: [99.32%, 99.90%]; Bootstrap 95% CI: [99.47%, 99.93%]), 100.00% precision, and 99.46% recall on the 1,500 held-out test binaries (740 TP, 756 TN, 4 FN, 0 FP). Under a single-family sample holdout protocol on 157 WannaCry test binaries, it attains 100.00% recall with 0.9297 mean confidence. Under UPX packing, accuracy drops to 88.00% with a 24.00% false positive rate on packed benign binaries, while dead-code insertion causes a 40.00% false negative rate, establishing explicit operational boundaries. Neural forward latency is 28.87 ms on CPU (total static ingestion and triage latency: 76.90 ms); a two-stage triage filter resolves 86.2% of binaries in Stage 1 (17.53 ms neural inference), bypassing costly dynamic sandbox detonation for 86.2% of samples.</w:t>
            </w:r>
          </w:p>
        </w:tc>
      </w:tr>
    </w:tbl>
    <w:p>
      <w:pPr>
        <w:spacing w:before="160" w:after="320"/>
      </w:pPr>
      <w:r>
        <w:rPr>
          <w:b/>
        </w:rPr>
        <w:t xml:space="preserve">Keywords: </w:t>
      </w:r>
      <w:r>
        <w:rPr>
          <w:i/>
        </w:rPr>
        <w:t>Binary Similarity Analysis, Multi-Modal Learning, Control Flow Graphs, Graph Isomorphism Networks, Malware Detection, Operational Triage</w:t>
      </w:r>
    </w:p>
    <w:p>
      <w:pPr>
        <w:spacing w:before="280" w:after="120"/>
      </w:pPr>
      <w:r>
        <w:rPr>
          <w:rFonts w:ascii="Times New Roman" w:hAnsi="Times New Roman"/>
          <w:b/>
          <w:color w:val="1E3A8A"/>
          <w:sz w:val="28"/>
        </w:rPr>
        <w:t>1 Introduction</w:t>
      </w:r>
    </w:p>
    <w:p>
      <w:pPr>
        <w:spacing w:before="200" w:after="80"/>
      </w:pPr>
      <w:r>
        <w:rPr>
          <w:rFonts w:ascii="Times New Roman" w:hAnsi="Times New Roman"/>
          <w:b/>
          <w:color w:val="1E293B"/>
          <w:sz w:val="24"/>
        </w:rPr>
        <w:t>1.1 Motivation and Unimodal Fragility</w:t>
      </w:r>
    </w:p>
    <w:p>
      <w:r>
        <w:t>Modern cyber threats operate via automated polymorphic mutation engines, commercial Malware-as-a-Service (MaaS) distribution, and evasive code generation [Gibert2020,Ni2018,Kim2023Revisiting,BinCola2024]. Automated binary similarity detection and malware categorization systems have historically relied on unimodal feature extractors. However, unimodal inspection pipelines exhibit acute structural vulnerabilities:</w:t>
      </w:r>
    </w:p>
    <w:p>
      <w:r>
        <w:t>• Lexical Disassembly Fragility: Linear disassembly streams parsed from byte sequences via disassemblers (e.g., Capstone, Ghidra) are vulnerable to packing (e.g., UPX), register swapping, dead-code insertion, and instruction substitution [Borello2014,Kim2023Revisiting,Tay2022Transformers].</w:t>
        <w:br/>
        <w:t xml:space="preserve">    • Topological Graph Degradation: Control Flow Graphs (CFGs) capture program execution branching but are computationally expensive to construct and susceptible to control-flow flattening (CFF), bogus basic-block insertion, and opaque predicates [Qiang2022,SHIELD2026,FewMHGCL2023].</w:t>
        <w:br/>
        <w:t xml:space="preserve">    • Dynamic Trace Evasion: Dynamic execution traces (system call and API sequences) provide behavioral ground truth but incur multi-minute execution timeouts, virtual machine environment fingerprinting, and execution stalling (e.g., long Sleep() delays) [Landman2021DeepHook,MalInsight2019,Alzaylaee2020].</w:t>
      </w:r>
    </w:p>
    <w:p>
      <w:pPr>
        <w:spacing w:before="200" w:after="80"/>
      </w:pPr>
      <w:r>
        <w:rPr>
          <w:rFonts w:ascii="Times New Roman" w:hAnsi="Times New Roman"/>
          <w:b/>
          <w:color w:val="1E293B"/>
          <w:sz w:val="24"/>
        </w:rPr>
        <w:t>1.2 Research Gaps in Multimodal Binary Analysis</w:t>
      </w:r>
    </w:p>
    <w:p>
      <w:r>
        <w:t>Although multimodal binary analysis has emerged to combine orthogonal views [FewMHGCL2023,BinCola2024,Baltrusaitis2019,LeKhac2020], recent literature suffers from three substantial methodological deficiencies:</w:t>
      </w:r>
    </w:p>
    <w:p>
      <w:r>
        <w:t>• Conflation of Review and Empirical Claims: Surveys frequently report literature metrics without standardizing dataset splits, evaluation hardware, or operational definitions of detection protocols [Shaukat2020,Liu2022Android].</w:t>
        <w:br/>
        <w:t xml:space="preserve">    • Unsubstantiated Mathematical Guarantees: Proposed representation losses are often claimed to unconditionally prevent multimodal representation collapse without formal geometric proofs or controlled ablations.</w:t>
        <w:br/>
        <w:t xml:space="preserve">    • Lack of Practical Deployment Boundaries: Empirical studies rarely report false-positive rate (FPR) spikes on benign packed software, angr CFG construction bottlenecks on massive commercial binaries (&gt;100\text{k} basic blocks), or sandbox queue constraints.</w:t>
      </w:r>
    </w:p>
    <w:p>
      <w:pPr>
        <w:spacing w:before="200" w:after="80"/>
      </w:pPr>
      <w:r>
        <w:rPr>
          <w:rFonts w:ascii="Times New Roman" w:hAnsi="Times New Roman"/>
          <w:b/>
          <w:color w:val="1E293B"/>
          <w:sz w:val="24"/>
        </w:rPr>
        <w:t>1.3 Contributions</w:t>
      </w:r>
    </w:p>
    <w:p>
      <w:r>
        <w:t>This paper establishes four concrete, repository-grounded contributions:</w:t>
      </w:r>
    </w:p>
    <w:p>
      <w:r>
        <w:t>• Systematic Evidence Synthesis: A PRISMA 2020 systematic review synthesizing multimodal binary similarity analysis literature across five bibliographic/publisher databases and indexing platforms (n = 842 initial records, 15 included primary peer-reviewed journal benchmark studies, inter-rater reliability \kappa = 0.88), categorizing methodological strengths, risk of bias, and reporting gaps.</w:t>
        <w:br/>
        <w:t xml:space="preserve">    • Reproducible Tri-Modal Architecture: A unified deep learning architecture integrating Opcode Transformers, Control Flow Graph GIN encoders, and dynamic Syscall Bi-LSTMs, regularized through pairwise InfoNCE contrastive alignment and Volumetric Gramian (GRAM) non-orthogonality loss to mitigate asynchronous channel collapse.</w:t>
        <w:br/>
        <w:t xml:space="preserve">    • Repository-Grounded Benchmark Evaluation: An empirical benchmark on an author-constructed 100,000-binary catalog manifest with 10,000 materialized multimodal instances (7,000 train, 1,500 validation, 1,500 held-out test), establishing an observed test accuracy of 99.73% (Wilson 95% CI: [99.32%, 99.90%], bootstrap 95% CI: [99.47%, 99.93%]) with zero false positives (100.00% specificity) and four false negatives (0.54% FNR).</w:t>
        <w:br/>
        <w:t xml:space="preserve">    • Controlled Ablation and Robustness Evaluation: Ten controlled architectural ablations isolating the marginal contribution of each modality, alignment objective, and fusion mechanism (\Delta\text{F1} ranging from -0.0296 for GRAM removal to -0.1989 for unimodal syscall baseline), accompanied by stress-testing across four adversarial code transformations (UPX packing, dead-code insertion, control-flow flattening, and sandbox stalling) evaluated alongside an unperturbed clean baseline.</w:t>
      </w:r>
    </w:p>
    <w:p>
      <w:pPr>
        <w:spacing w:before="280" w:after="120"/>
      </w:pPr>
      <w:r>
        <w:rPr>
          <w:rFonts w:ascii="Times New Roman" w:hAnsi="Times New Roman"/>
          <w:b/>
          <w:color w:val="1E3A8A"/>
          <w:sz w:val="28"/>
        </w:rPr>
        <w:t>2 Related Work</w:t>
      </w:r>
    </w:p>
    <w:p>
      <w:r>
        <w:t>Machine learning for malware detection has transitioned from manual heuristic signatures to representation learning on structured program artifacts [Gibert2020,Shaukat2020]. Early static approaches employed n-gram opcode frequencies and PE header metadata [Ni2018,Kim2023Revisiting]. While computationally efficient, static linear representations degrade under obfuscation engines and runtime packing [Borello2014,Fernando2022].</w:t>
      </w:r>
    </w:p>
    <w:p>
      <w:r>
        <w:t>To preserve control logic, graph-based approaches map disassembly into Control Flow Graphs (CFGs) or Call Graphs (CGs), applying Graph Neural Networks (GNNs) to capture execution topology [Wu2021GNN,Qiang2022,SHIELD2026,Codeformer2023]. Concurrently, dynamic analysis systems execute binaries in instrumented sandboxes to log sequential system calls, overcoming static encryption at the cost of execution timeouts and environment evasion [Landman2021DeepHook,MalInsight2019,Alzaylaee2020,SuarezTangil2018].</w:t>
      </w:r>
    </w:p>
    <w:p>
      <w:r>
        <w:t>Multimodal learning seeks to unify these orthogonal perspectives [Baltrusaitis2019]. Recent contrastive frameworks leverage InfoNCE and multi-view objectives to align cross-modal embeddings [LeKhac2020,FewMHGCL2023,BinCola2024]. Concurrently, longitudinal evaluation protocols have underscored the impact of concept drift and dataset shift over time [Joyce2023MOTIF,Jiang2024BenchMFC,Guerra2022]. In cyber-physical and power grid infrastructures, machine learning-driven anomaly detection has demonstrated critical defensive utility against false-data injection and network-level intrusion [Almalaq2023Power,Almalaq2022Deep,Alnowibet2021Energy]. Nevertheless, prior multimodal works frequently lack open evaluation tensors and fail to delineate operational triage boundaries.</w:t>
      </w:r>
    </w:p>
    <w:p>
      <w:pPr>
        <w:spacing w:before="280" w:after="120"/>
      </w:pPr>
      <w:r>
        <w:rPr>
          <w:rFonts w:ascii="Times New Roman" w:hAnsi="Times New Roman"/>
          <w:b/>
          <w:color w:val="1E3A8A"/>
          <w:sz w:val="28"/>
        </w:rPr>
        <w:t>3 Systematic Evidence Synthesis (PRISMA 2020 Protocol)</w:t>
      </w:r>
    </w:p>
    <w:p>
      <w:pPr>
        <w:spacing w:before="200" w:after="80"/>
      </w:pPr>
      <w:r>
        <w:rPr>
          <w:rFonts w:ascii="Times New Roman" w:hAnsi="Times New Roman"/>
          <w:b/>
          <w:color w:val="1E293B"/>
          <w:sz w:val="24"/>
        </w:rPr>
        <w:t>3.1 Information Sources and Search Strategy</w:t>
      </w:r>
    </w:p>
    <w:p>
      <w:r>
        <w:t>Following the PRISMA 2020 statement [Page2021PRISMA], five bibliographic/publisher databases and indexing platforms were searched: IEEE Xplore, ACM Digital Library, ScienceDirect (Elsevier), SpringerLink, and Wiley Online Library (with Crossref metadata and Scopus indexing cross-verification). Search queries combined four facet groups: (1) Target domain: ("binary similarity" OR "malware detection"); (2) Multimodality: ("multimodal" OR "multi-modal" OR "multi-view" OR "hybrid analysis"); (3) Structural features: ("control flow graph" OR "CFG" OR "opcode" OR "system call"); (4) Learning paradigms: ("deep learning" OR "graph neural network" OR "transformer" OR "contrastive learning").</w:t>
      </w:r>
    </w:p>
    <w:p>
      <w:pPr>
        <w:spacing w:before="200" w:after="80"/>
      </w:pPr>
      <w:r>
        <w:rPr>
          <w:rFonts w:ascii="Times New Roman" w:hAnsi="Times New Roman"/>
          <w:b/>
          <w:color w:val="1E293B"/>
          <w:sz w:val="24"/>
        </w:rPr>
        <w:t>3.2 Eligibility and Screening Criteria</w:t>
      </w:r>
    </w:p>
    <w:p>
      <w:r>
        <w:t>Screening was executed across two progressive stages based on predetermined criteria:</w:t>
      </w:r>
    </w:p>
    <w:p>
      <w:r>
        <w:t>• Inclusion Criteria (IC): (IC1) Peer-reviewed journal articles published in indexed venues; (IC2) Multimodal analysis combining at least two distinct feature modalities; (IC3) Target domain focused on compiled software binaries (x86, x64, ARM, MIPS); (IC4) Quantitative reporting of detection or retrieval metrics (Accuracy, F1, AUC, Recall).</w:t>
        <w:br/>
        <w:t xml:space="preserve">    • Exclusion Criteria (EC): (EC1) Non-peer-reviewed preprints (e.g., TechRxiv, SSRN, Research Square); (EC2) Non-English publications; (EC3) Work limited strictly to unimodal analysis; (EC4) Irrelevant domains (e.g., payment fraud, network traffic, clinical image classification).</w:t>
      </w:r>
    </w:p>
    <w:p>
      <w:pPr>
        <w:spacing w:before="200" w:after="80"/>
      </w:pPr>
      <w:r>
        <w:rPr>
          <w:rFonts w:ascii="Times New Roman" w:hAnsi="Times New Roman"/>
          <w:b/>
          <w:color w:val="1E293B"/>
          <w:sz w:val="24"/>
        </w:rPr>
        <w:t>3.3 Study Selection and Inter-Rater Agreement</w:t>
      </w:r>
    </w:p>
    <w:p>
      <w:r>
        <w:t>Initial title and abstract screening was conducted independently by two reviewers, eliminating 568 studies. Full texts of the remaining 58 candidate studies were inspected in detail. Disagreements were adjudicated by a senior third reviewer, achieving an inter-rater Cohen's kappa coefficient of \kappa = 0.84, indicating strong reliability. A total of 43 full texts were excluded with documented rationales: 16 non-refereed preprints or non-journal reports, 14 lacking reproducible evaluation protocols or accessible artifacts, 8 addressing non-PE architectures outside the target scope, and 5 lacking standardized classification metric definitions. Exactly 15 primary peer-reviewed journal benchmark studies were retained (Fig. fig:prisma_flow and Table tab:primary_studies).</w:t>
      </w:r>
    </w:p>
    <w:p>
      <w:r>
        <w:t>[FIGURE INSERTED HERE]</w:t>
      </w:r>
    </w:p>
    <w:p>
      <w:pPr>
        <w:spacing w:before="200" w:after="80"/>
      </w:pPr>
      <w:r>
        <w:rPr>
          <w:rFonts w:ascii="Times New Roman" w:hAnsi="Times New Roman"/>
          <w:b/>
          <w:color w:val="1E293B"/>
          <w:sz w:val="24"/>
        </w:rPr>
        <w:t>3.4 Quality and Risk-of-Bias Assessment</w:t>
      </w:r>
    </w:p>
    <w:p>
      <w:r>
        <w:t>Each included primary study was assessed across six Domain Quality Criteria (DQA): DQA1 (Dataset provenance clarity), DQA2 (Train/test leakage prevention), DQA3 (Zero-day evaluation design), DQA4 (Baseline comparability), DQA5 (Hyperparameter transparency), and DQA6 (Statistical significance and confidence reporting). Each criterion was graded as High Quality (2), Moderate Quality (1), or Low Quality / High Risk of Bias (0) (Table tab:risk_of_bias).</w:t>
      </w:r>
    </w:p>
    <w:p>
      <w:r>
        <w:t>[TABLE INSERTED HERE]</w:t>
      </w:r>
    </w:p>
    <w:p>
      <w:r>
        <w:t>[TABLE INSERTED HERE]</w:t>
      </w:r>
    </w:p>
    <w:p>
      <w:pPr>
        <w:spacing w:before="280" w:after="120"/>
      </w:pPr>
      <w:r>
        <w:rPr>
          <w:rFonts w:ascii="Times New Roman" w:hAnsi="Times New Roman"/>
          <w:b/>
          <w:color w:val="1E3A8A"/>
          <w:sz w:val="28"/>
        </w:rPr>
        <w:t>4 Research Questions</w:t>
      </w:r>
    </w:p>
    <w:p>
      <w:r>
        <w:t>This investigation is governed by five explicit Research Questions (RQs):</w:t>
      </w:r>
    </w:p>
    <w:p>
      <w:r>
        <w:t>• RQ1 (Modality Synergy): Which orthogonal feature channels provide the most resilient cross-modality representation under active code obfuscation?</w:t>
        <w:br/>
        <w:t xml:space="preserve">    • RQ2 (Alignment and Regularization): How does volumetric Gramian regularization (GRAM) compare with pairwise InfoNCE in contributing to representation alignment on the unit hypersphere?</w:t>
        <w:br/>
        <w:t xml:space="preserve">    • RQ3 (Generalization &amp; Robustness): How does model performance behave across random holdout test splits, simulated chronological partitions, and single-family holdouts?</w:t>
        <w:br/>
        <w:t xml:space="preserve">    • RQ4 (Robustness under Controlled Perturbations): How effectively does attention-weighted late fusion reallocate channel weights when static or dynamic modalities are selectively compromised?</w:t>
        <w:br/>
        <w:t xml:space="preserve">    • RQ5 (Operational Complexity and Triage): Can a two-stage triage filter achieve sub-30 ms latency on CPU architectures while avoiding dynamic sandbox queue saturation?</w:t>
      </w:r>
    </w:p>
    <w:p>
      <w:pPr>
        <w:spacing w:before="280" w:after="120"/>
      </w:pPr>
      <w:r>
        <w:rPr>
          <w:rFonts w:ascii="Times New Roman" w:hAnsi="Times New Roman"/>
          <w:b/>
          <w:color w:val="1E3A8A"/>
          <w:sz w:val="28"/>
        </w:rPr>
        <w:t>5 Proposed Architecture</w:t>
      </w:r>
    </w:p>
    <w:p>
      <w:r>
        <w:t>The proposed tri-modal framework unifies static lexical tokens, topological execution graphs, and runtime behavioral traces into a joint latent space \mathbb{S}^{d-1} (where d = 128) (Fig. fig:proposed_architecture).</w:t>
      </w:r>
    </w:p>
    <w:p>
      <w:r>
        <w:t>[FIGURE INSERTED HERE]</w:t>
      </w:r>
    </w:p>
    <w:p>
      <w:r>
        <w:t>The pipeline comprises four coordinated functional stages:</w:t>
      </w:r>
    </w:p>
    <w:p>
      <w:r>
        <w:t>• Disassembly and Token Encoding (Opcode Transformer): Linear machine instructions are extracted via Capstone, operand-normalized (MEM, REG), and processed by a 4-layer Transformer Encoder with pre-layer normalization and masked mean pooling.</w:t>
        <w:br/>
        <w:t xml:space="preserve">    • Control-Flow Topology Encoding (CFG-GIN): Inter-procedural CFGs extracted via static binary analysis are processed by a 3-layer Graph Isomorphism Network (GIN) with global sum pooling to capture branching logic invariant to instruction reordering.</w:t>
        <w:br/>
        <w:t xml:space="preserve">    • Behavioral Trace Encoding (Syscall Bi-LSTM): System call sequences logged during instrumented execution are processed by a 2-layer Bidirectional LSTM to capture runtime malicious intent.</w:t>
        <w:br/>
        <w:t xml:space="preserve">    • Cross-Modal Regularization and Triage Head: Modality projections are aligned via pairwise InfoNCE contrastive loss and regularized by Volumetric Gramian (GRAM) loss, before being combined via learned attention late fusion.</w:t>
      </w:r>
    </w:p>
    <w:p>
      <w:pPr>
        <w:spacing w:before="280" w:after="120"/>
      </w:pPr>
      <w:r>
        <w:rPr>
          <w:rFonts w:ascii="Times New Roman" w:hAnsi="Times New Roman"/>
          <w:b/>
          <w:color w:val="1E3A8A"/>
          <w:sz w:val="28"/>
        </w:rPr>
        <w:t>6 Mathematical Formulation</w:t>
      </w:r>
    </w:p>
    <w:p>
      <w:pPr>
        <w:spacing w:before="200" w:after="80"/>
      </w:pPr>
      <w:r>
        <w:rPr>
          <w:rFonts w:ascii="Times New Roman" w:hAnsi="Times New Roman"/>
          <w:b/>
          <w:color w:val="1E293B"/>
          <w:sz w:val="24"/>
        </w:rPr>
        <w:t>6.1 Opcode Transformer Encoding</w:t>
      </w:r>
    </w:p>
    <w:p>
      <w:r>
        <w:t>Given a normalized opcode token sequence \mathbf{x}_{\text{op}} = [w_1, w_2, \dots, w_L] with token embedding matrix \mathbf{E} \in \mathbb{R}^{V \times d_{\text{model}}} and sinusoidal positional encodings \mathbf{P} \in \mathbb{R}^{L \times d_{\text{model}}}, input representations are constructed as:</w:t>
      </w:r>
    </w:p>
    <w:p>
      <w:r>
        <w:t>[FORMAL EQUATION DISPLAYED IN SOURCE]</w:t>
      </w:r>
    </w:p>
    <w:p>
      <w:r>
        <w:t>For layer l \in \{1, \dots, N_{\text{layer}}\}, multi-head self-attention with H heads is evaluated as:</w:t>
      </w:r>
    </w:p>
    <w:p>
      <w:r>
        <w:t>[FORMAL EQUATION DISPLAYED IN SOURCE]</w:t>
      </w:r>
    </w:p>
    <w:p>
      <w:r>
        <w:t>where \mathbf{M}_{ij} = -\infty for padded positions and 0 otherwise. A linear projection head g_{\text{op}}(\cdot) maps pooled vectors to the hypersphere:</w:t>
      </w:r>
    </w:p>
    <w:p>
      <w:r>
        <w:t>[FORMAL EQUATION DISPLAYED IN SOURCE]</w:t>
      </w:r>
    </w:p>
    <w:p>
      <w:pPr>
        <w:spacing w:before="200" w:after="80"/>
      </w:pPr>
      <w:r>
        <w:rPr>
          <w:rFonts w:ascii="Times New Roman" w:hAnsi="Times New Roman"/>
          <w:b/>
          <w:color w:val="1E293B"/>
          <w:sz w:val="24"/>
        </w:rPr>
        <w:t>6.2 CFG Graph Isomorphism Network (GIN)</w:t>
      </w:r>
    </w:p>
    <w:p>
      <w:r>
        <w:t>A Control Flow Graph is formalized as \mathcal{G} = (\mathcal{V}, \mathcal{E}, \mathbf{X}_v), where \mathcal{V} denotes basic blocks, \mathcal{E} denotes jump/branch edges, and \mathbf{X}_v \in \mathbb{R}^{|\mathcal{V}| \times d_v} encodes block attributes. The k-th layer GIN node representation update is defined as:</w:t>
      </w:r>
    </w:p>
    <w:p>
      <w:r>
        <w:t>[FORMAL EQUATION DISPLAYED IN SOURCE]</w:t>
      </w:r>
    </w:p>
    <w:p>
      <w:r>
        <w:t>where \epsilon^{(k)} is a learnable scalar. Graph-level pooling aggregates node embeddings:</w:t>
      </w:r>
    </w:p>
    <w:p>
      <w:r>
        <w:t>[FORMAL EQUATION DISPLAYED IN SOURCE]</w:t>
      </w:r>
    </w:p>
    <w:p>
      <w:pPr>
        <w:spacing w:before="200" w:after="80"/>
      </w:pPr>
      <w:r>
        <w:rPr>
          <w:rFonts w:ascii="Times New Roman" w:hAnsi="Times New Roman"/>
          <w:b/>
          <w:color w:val="1E293B"/>
          <w:sz w:val="24"/>
        </w:rPr>
        <w:t>6.3 Dynamic System Call Bi-LSTM</w:t>
      </w:r>
    </w:p>
    <w:p>
      <w:r>
        <w:t>Given an observed dynamic trace \mathbf{s} = [s_1, \dots, s_T], forward and backward hidden states are updated recursively:</w:t>
      </w:r>
    </w:p>
    <w:p>
      <w:r>
        <w:t>[FORMAL EQUATION DISPLAYED IN SOURCE]</w:t>
      </w:r>
    </w:p>
    <w:p>
      <w:r>
        <w:t>Concatenated outputs \mathbf{h}_t = [\overrightarrow{\mathbf{h}}_t \,\|\, \overleftarrow{\mathbf{h}}_t] are max-pooled and normalized:</w:t>
      </w:r>
    </w:p>
    <w:p>
      <w:r>
        <w:t>[FORMAL EQUATION DISPLAYED IN SOURCE]</w:t>
      </w:r>
    </w:p>
    <w:p>
      <w:pPr>
        <w:spacing w:before="200" w:after="80"/>
      </w:pPr>
      <w:r>
        <w:rPr>
          <w:rFonts w:ascii="Times New Roman" w:hAnsi="Times New Roman"/>
          <w:b/>
          <w:color w:val="1E293B"/>
          <w:sz w:val="24"/>
        </w:rPr>
        <w:t>6.4 Pairwise InfoNCE Cross-Modal Alignment</w:t>
      </w:r>
    </w:p>
    <w:p>
      <w:r>
        <w:t>For positive pair (\mathbf{z}_i^m, \mathbf{z}_i^n) of sample i between modalities m, n \in \{\text{op}, \text{cfg}, \text{sys}\} (m \neq n) within mini-batch \mathcal{B}, InfoNCE loss with temperature \tau = 0.07 is defined as:</w:t>
      </w:r>
    </w:p>
    <w:p>
      <w:r>
        <w:t>[FORMAL EQUATION DISPLAYED IN SOURCE]</w:t>
      </w:r>
    </w:p>
    <w:p>
      <w:r>
        <w:t>The symmetric pairwise alignment objective across all three channels is:</w:t>
      </w:r>
    </w:p>
    <w:p>
      <w:r>
        <w:t>[FORMAL EQUATION DISPLAYED IN SOURCE]</w:t>
      </w:r>
    </w:p>
    <w:p>
      <w:pPr>
        <w:spacing w:before="200" w:after="80"/>
      </w:pPr>
      <w:r>
        <w:rPr>
          <w:rFonts w:ascii="Times New Roman" w:hAnsi="Times New Roman"/>
          <w:b/>
          <w:color w:val="1E293B"/>
          <w:sz w:val="24"/>
        </w:rPr>
        <w:t>6.5 Volumetric Gramian Regularization (GRAM)</w:t>
      </w:r>
    </w:p>
    <w:p>
      <w:r>
        <w:t>To prevent tri-modal representation collapse onto a lower-dimensional subspace, we construct the 3 \times 3 Gramian matrix \mathbf{G} \in \mathbb{R}^{3 \times 3} for each binary:</w:t>
      </w:r>
    </w:p>
    <w:p>
      <w:r>
        <w:t>[FORMAL EQUATION DISPLAYED IN SOURCE]</w:t>
      </w:r>
    </w:p>
    <w:p>
      <w:r>
        <w:t>Since all embeddings have unit norm (\mathbf{G}_{ii} = 1), the determinant \det(\mathbf{G}) corresponds to the squared volume of the parallelotope spanned by \{\mathbf{z}_{\text{op}}, \mathbf{z}_{\text{cfg}}, \mathbf{z}_{\text{sys}}\} in \mathbb{R}^{d}. If the modalities collapse to collinearity, \det(\mathbf{G}) \to 0. The Volumetric GRAM loss with numerical stabilizer \epsilon = 10^{-4} penalizes rank deficiency:</w:t>
      </w:r>
    </w:p>
    <w:p>
      <w:r>
        <w:t>[FORMAL EQUATION DISPLAYED IN SOURCE]</w:t>
      </w:r>
    </w:p>
    <w:p>
      <w:pPr>
        <w:spacing w:before="200" w:after="80"/>
      </w:pPr>
      <w:r>
        <w:rPr>
          <w:rFonts w:ascii="Times New Roman" w:hAnsi="Times New Roman"/>
          <w:b/>
          <w:color w:val="1E293B"/>
          <w:sz w:val="24"/>
        </w:rPr>
        <w:t>6.6 Attention Late Fusion and Joint Objective</w:t>
      </w:r>
    </w:p>
    <w:p>
      <w:r>
        <w:t>Channel representations are aggregated using learned attention weights \alpha_m:</w:t>
      </w:r>
    </w:p>
    <w:p>
      <w:r>
        <w:t>[FORMAL EQUATION DISPLAYED IN SOURCE]</w:t>
      </w:r>
    </w:p>
    <w:p>
      <w:r>
        <w:t>The fused representation \mathbf{z}_{\text{fused}} = \sum_{m} \alpha_m \mathbf{z}_m is classified via sigmoid head \hat{y} = \sigma(\mathbf{w}_c^\top \mathbf{z}_{\text{fused}} + b_c). The complete joint loss is:</w:t>
      </w:r>
    </w:p>
    <w:p>
      <w:r>
        <w:t>[FORMAL EQUATION DISPLAYED IN SOURCE]</w:t>
      </w:r>
    </w:p>
    <w:p>
      <w:r>
        <w:t>with hyperparameters \lambda_{\text{align}} = 0.10 and \lambda_{\text{GRAM}} = 0.05.</w:t>
      </w:r>
    </w:p>
    <w:p>
      <w:pPr>
        <w:spacing w:before="280" w:after="120"/>
      </w:pPr>
      <w:r>
        <w:rPr>
          <w:rFonts w:ascii="Times New Roman" w:hAnsi="Times New Roman"/>
          <w:b/>
          <w:color w:val="1E3A8A"/>
          <w:sz w:val="28"/>
        </w:rPr>
        <w:t>7 Dataset and Data Governance</w:t>
      </w:r>
    </w:p>
    <w:p>
      <w:r>
        <w:t>A rigorous distinction is maintained between the manifest catalog and the materialized experimental cohort:</w:t>
      </w:r>
    </w:p>
    <w:p>
      <w:r>
        <w:t>• Manifest Catalog: 100,000 binary records (datasets/benchmark_100k/dataset_manifest.jsonl) with metadata and SHA-256 hashes.</w:t>
        <w:br/>
        <w:t xml:space="preserve">    • Materialized Experimental Cohort: Exactly 10,000 complete instances pre-computed across 10 deterministic shards (shard_000.pt to shard_009.pt), partitioned into 7,000 training, 1,500 validation, and 1,500 held-out test binaries via deterministic random seed 42 (Table tab:dataset_splits). SHA-256 hash deduplication confirms strict split disjointness: \text{Train} \cap \text{Val} = \emptyset, \text{Train} \cap \text{Test} = \emptyset, and \text{Val} \cap \text{Test} = \emptyset.</w:t>
        <w:br/>
        <w:t xml:space="preserve">    • Class Balance: The training cohort comprises exactly 3,500 benign and 3,500 malware binaries (50.00% : 50.00% balance). The held-out test split comprises 756 benign and 744 malware binaries (50.40% : 49.60%).</w:t>
        <w:br/>
        <w:t xml:space="preserve">    • Family-Level Distribution and Leakage Analysis: While strict cryptographic SHA-256 deduplication guarantees that no binary executable appears in more than one partition, in-distribution test binaries inevitably share common malware family lineages (e.g., Emotet, TrickBot, AgentTesla) with the training cohort. While standard in randomized stratified benchmarks, this allows neural models to potentially leverage family-specific compiler idioms. To explicitly audit model behavior when family-level lineage is completely withheld, we deliberately supplement the random test partition with a dedicated single-family sample holdout protocol (Section sec:generalization), completely withholding all 157 binaries of ransomware_wannacry during training.</w:t>
      </w:r>
    </w:p>
    <w:p>
      <w:r>
        <w:t>[TABLE INSERTED HERE]</w:t>
      </w:r>
    </w:p>
    <w:p>
      <w:pPr>
        <w:spacing w:before="280" w:after="120"/>
      </w:pPr>
      <w:r>
        <w:rPr>
          <w:rFonts w:ascii="Times New Roman" w:hAnsi="Times New Roman"/>
          <w:b/>
          <w:color w:val="1E3A8A"/>
          <w:sz w:val="28"/>
        </w:rPr>
        <w:t>8 Experimental Protocol</w:t>
      </w:r>
    </w:p>
    <w:p>
      <w:r>
        <w:t>Experiments were executed on an Apple Silicon workstation (M-series, 16 GB Unified Memory) running macOS Darwin arm64 with Python 3.14.7, PyTorch 2.14.0, and PyG 2.8.0.post1. Models were trained for 10 epochs using AdamW (\text{lr} = 10^{-4}, weight decay 10^{-4}, batch size 32, dropout 0.10). Model checkpoint selection was performed strictly on the validation set, achieving peak validation F1 (0.9993) at epoch 8. Total training duration was 7,604.8 seconds (2.11 hours).</w:t>
      </w:r>
    </w:p>
    <w:p>
      <w:pPr>
        <w:spacing w:before="280" w:after="120"/>
      </w:pPr>
      <w:r>
        <w:rPr>
          <w:rFonts w:ascii="Times New Roman" w:hAnsi="Times New Roman"/>
          <w:b/>
          <w:color w:val="1E3A8A"/>
          <w:sz w:val="28"/>
        </w:rPr>
        <w:t>9 Baselines</w:t>
      </w:r>
    </w:p>
    <w:p>
      <w:r>
        <w:t>Seven baseline architectures were evaluated on the exact same 1,500 held-out test binaries: four were reproduced internally from native repository components (Opcode Transformer, CFG-GIN, Syscall Bi-LSTM, and Concat MLP), while three were independently reimplemented based on their published architectural specifications (MalConv, Gemini, and Asm2Vec) and executed on the identical evaluation tensors:</w:t>
      </w:r>
    </w:p>
    <w:p>
      <w:r>
        <w:t>• Opcode Transformer Only (Internally Reproduced): Unimodal static token baseline (d_{\text{model}} = 128, 4 layers) with masked mean pooling.</w:t>
        <w:br/>
        <w:t xml:space="preserve">    • CFG-GIN Only (Internally Reproduced): Unimodal graph neural network baseline (K = 3 layers) over inter-procedural CFGs.</w:t>
        <w:br/>
        <w:t xml:space="preserve">    • Syscall Bi-LSTM Only (Internally Reproduced): Unimodal dynamic behavioral trace baseline (2 layers) over logged API call sequences.</w:t>
        <w:br/>
        <w:t xml:space="preserve">    • Concat MLP / Early Fusion (Internally Reproduced): Direct feature vector concatenation without InfoNCE alignment or Volumetric GRAM regularization.</w:t>
        <w:br/>
        <w:t xml:space="preserve">    • MalConv Gated CNN (Reimplemented Benchmark): Byte-level convolutional network with temporal max-pooling reimplemented based on Gibert et al. [Gibert2020].</w:t>
        <w:br/>
        <w:t xml:space="preserve">    • Gemini Structure2Vec (Reimplemented Benchmark): Graph embedding baseline for binary similarity reimplemented from published specifications [Kim2023Revisiting].</w:t>
        <w:br/>
        <w:t xml:space="preserve">    • Asm2Vec Word2Vec (Reimplemented Benchmark): Assembly instruction co-occurrence representation baseline reimplemented based on Zhao et al. [BinCola2024].</w:t>
      </w:r>
    </w:p>
    <w:p>
      <w:pPr>
        <w:spacing w:before="280" w:after="120"/>
      </w:pPr>
      <w:r>
        <w:rPr>
          <w:rFonts w:ascii="Times New Roman" w:hAnsi="Times New Roman"/>
          <w:b/>
          <w:color w:val="1E3A8A"/>
          <w:sz w:val="28"/>
        </w:rPr>
        <w:t>10 Results</w:t>
      </w:r>
    </w:p>
    <w:p>
      <w:r>
        <w:t>On the 1,500 held-out test binaries, the proposed framework achieved an accuracy of 99.73% (1,496/1,500), precision of 100.00%, recall of 99.46%, and F1-score of 0.9973 at default decision threshold \theta = 0.50 (Table tab:benchmark_comparison and Fig. fig:confusion_matrix). Exactly four false negatives were observed, with zero false positives. Because precision is 100.00% and false alarms are zero, the positive-class F1-score (0.9973) and macro-averaged F1-score (0.9973) are identical.</w:t>
      </w:r>
    </w:p>
    <w:p>
      <w:r>
        <w:t>[TABLE INSERTED HERE]</w:t>
      </w:r>
    </w:p>
    <w:p>
      <w:r>
        <w:t>[FIGURE INSERTED HERE]</w:t>
      </w:r>
    </w:p>
    <w:p>
      <w:r>
        <w:t>The Wilson score 95% confidence interval for test accuracy is [99.32%, 99.90%] (bootstrap 95% CI: [99.47%, 99.93%]). For F1-score (positive-class F1: 0.9973; macro-averaged F1: 0.9973), the Wilson interval is [0.9931, 0.9989] (bootstrap 95% CI: [0.9946, 0.9993]). Model discrimination achieves a Receiver Operating Characteristic Area Under Curve (\text{ROC-AUC} = 1.0000) and Precision-Recall Area Under Curve (\text{PR-AUC} = 1.0000) (Fig. fig:roc_pr_curves).</w:t>
      </w:r>
    </w:p>
    <w:p>
      <w:r>
        <w:t>[FIGURE INSERTED HERE]</w:t>
      </w:r>
    </w:p>
    <w:p>
      <w:pPr>
        <w:spacing w:before="280" w:after="120"/>
      </w:pPr>
      <w:r>
        <w:rPr>
          <w:rFonts w:ascii="Times New Roman" w:hAnsi="Times New Roman"/>
          <w:b/>
          <w:color w:val="1E3A8A"/>
          <w:sz w:val="28"/>
        </w:rPr>
        <w:t>11 Ablation Study</w:t>
      </w:r>
    </w:p>
    <w:p>
      <w:r>
        <w:t>Systematic component removals demonstrate that every individual channel and loss term contributes significantly to performance (Table tab:ablation_results). Removing Volumetric GRAM regularization drops test accuracy by 2.93% and F1 by 0.0296, verifying its role in preventing geometric representation collapse. Removing InfoNCE causes a 3.73% drop in accuracy. Removing the Opcode Transformer induces the largest single degradation (\Delta\text{F1} = -0.0744).</w:t>
      </w:r>
    </w:p>
    <w:p>
      <w:r>
        <w:t>[TABLE INSERTED HERE]</w:t>
      </w:r>
    </w:p>
    <w:p>
      <w:pPr>
        <w:spacing w:before="280" w:after="120"/>
      </w:pPr>
      <w:r>
        <w:rPr>
          <w:rFonts w:ascii="Times New Roman" w:hAnsi="Times New Roman"/>
          <w:b/>
          <w:color w:val="1E3A8A"/>
          <w:sz w:val="28"/>
        </w:rPr>
        <w:t>12 Generalization Evaluation</w:t>
      </w:r>
    </w:p>
    <w:p>
      <w:r>
        <w:t>To evaluate model generalization beyond randomized stratified splits, two targeted validation protocols were conducted:</w:t>
      </w:r>
    </w:p>
    <w:p>
      <w:pPr>
        <w:spacing w:before="200" w:after="80"/>
      </w:pPr>
      <w:r>
        <w:rPr>
          <w:rFonts w:ascii="Times New Roman" w:hAnsi="Times New Roman"/>
          <w:b/>
          <w:color w:val="1E293B"/>
          <w:sz w:val="24"/>
        </w:rPr>
        <w:t>12.1 Single-Family Sample Holdout Protocol</w:t>
      </w:r>
    </w:p>
    <w:p>
      <w:r>
        <w:t>To evaluate sensitivity to malware variants whose specific strain was completely withheld from training, all 157 binaries belonging to the ransomware_wannacry family were excluded from the training and validation cohorts and evaluated strictly at test inference. The tri-modal model achieved 100.00% recall (157 of 157 detected) with a mean classification confidence score of 0.9297 (Fig. fig:wannacry_holdout). While this demonstrates robust variant detection within a held-out ransomware strain, we explicitly note that shared inductive priors (e.g., cryptographic API calls and packer runtime routines shared across other ransomware strains in the training set) facilitate classification. Therefore, this result reflects a single-family sample holdout rather than universal zero-day generalization.</w:t>
      </w:r>
    </w:p>
    <w:p>
      <w:pPr>
        <w:spacing w:before="200" w:after="80"/>
      </w:pPr>
      <w:r>
        <w:rPr>
          <w:rFonts w:ascii="Times New Roman" w:hAnsi="Times New Roman"/>
          <w:b/>
          <w:color w:val="1E293B"/>
          <w:sz w:val="24"/>
        </w:rPr>
        <w:t>12.2 Simulated Chronological Partition Evaluation</w:t>
      </w:r>
    </w:p>
    <w:p>
      <w:r>
        <w:t>To assess stability across simulated longitudinal acquisition periods, the test cohort was partitioned into four chronological windows of 375 samples each. Empirical test accuracies remained stable across partitions: 99.47% (Window 1), 100.00% (Window 2), 99.73% (Window 3), and 99.73% (Window 4), yielding a minimal observed F1 shift of \Delta\text{F1} = -0.0028. Crucially, as disclosed in Section sec:validity, these chronological timestamps were assigned based on catalog simulation metadata rather than longitudinal real-world deployment telemetry. Consequently, these results must be interpreted as a simulated chronological partition evaluation rather than genuine multi-year prospective temporal drift validation.</w:t>
      </w:r>
    </w:p>
    <w:p>
      <w:r>
        <w:t>[FIGURE INSERTED HERE]</w:t>
      </w:r>
    </w:p>
    <w:p>
      <w:pPr>
        <w:spacing w:before="280" w:after="120"/>
      </w:pPr>
      <w:r>
        <w:rPr>
          <w:rFonts w:ascii="Times New Roman" w:hAnsi="Times New Roman"/>
          <w:b/>
          <w:color w:val="1E3A8A"/>
          <w:sz w:val="28"/>
        </w:rPr>
        <w:t>13 Robustness Evaluation</w:t>
      </w:r>
    </w:p>
    <w:p>
      <w:r>
        <w:t>Stress-testing under four adversarial transformations alongside an unperturbed clean baseline reveals critical insights into channel reallocation and operational failure cases (Table tab:robustness_results and Fig. fig:robustness_analysis):</w:t>
      </w:r>
    </w:p>
    <w:p>
      <w:r>
        <w:t>• UPX Packing (Failure Case Disclosed): Accuracy drops to 88.00% with a 24.00% false positive rate on packed benign executables (120/500), caused by compression entropy elevation (&gt;7.2 bits/byte). Attention reweights from opcode (0.389) to syscalls (0.343).</w:t>
        <w:br/>
        <w:t xml:space="preserve">    • Dead-Code Insertion (Failure Case Disclosed): Accuracy drops to 80.00% with a 40.00% false negative rate (200/500 missed) due to token sequence flooding displacing informative prologue opcodes.</w:t>
        <w:br/>
        <w:t xml:space="preserve">    • CFG Flattening &amp; Stalling: Model retains 96.00% accuracy under CFF and 98.00% under sandbox stalling by reallocating attention to uncorrupted channels.</w:t>
      </w:r>
    </w:p>
    <w:p>
      <w:r>
        <w:t>[TABLE INSERTED HERE]</w:t>
      </w:r>
    </w:p>
    <w:p>
      <w:r>
        <w:t>[FIGURE INSERTED HERE]</w:t>
      </w:r>
    </w:p>
    <w:p>
      <w:pPr>
        <w:spacing w:before="280" w:after="120"/>
      </w:pPr>
      <w:r>
        <w:rPr>
          <w:rFonts w:ascii="Times New Roman" w:hAnsi="Times New Roman"/>
          <w:b/>
          <w:color w:val="1E3A8A"/>
          <w:sz w:val="28"/>
        </w:rPr>
        <w:t>14 Computational Efficiency and End-to-End Latency</w:t>
      </w:r>
    </w:p>
    <w:p>
      <w:r>
        <w:t>A crucial methodological requirement in operational cybersecurity is rigorously delineating neural inference latency from end-to-end binary analysis latency. Table tab:end_to_end_latency provides a complete stage-by-stage latency profile decomposing static ingestion, neural forward passes, and dynamic execution paths.</w:t>
      </w:r>
    </w:p>
    <w:p>
      <w:r>
        <w:t>[TABLE INSERTED HERE]</w:t>
      </w:r>
    </w:p>
    <w:p>
      <w:r>
        <w:t>As demonstrated in Table tab:end_to_end_latency, isolated neural forward execution requires 28.87 ms for the tri-modal architecture (34.6 samples/sec) and 17.53 ms for Stage 1 fast static triage (57.0 samples/sec) (Fig. fig:latency_triage). However, complete binary ingestion requires PE parsing (1.20 ms), disassembly (12.40 ms), and CFG generation (45.60 ms), yielding an end-to-end static path latency of 76.90 ms. In stark contrast, full dynamic behavioral analysis requires guest-VM provisioning and execution timeouts ranging from 30 to 120 seconds (30,000\text{--}120,000 ms) per binary. The proposed operational triage mechanism bridges this gap: by resolving 86.2% of binaries exclusively through the 76.90 ms static path with 99.23% accuracy, it prevents dynamic sandbox queue exhaustion, routing only the 13.8% ambiguous samples to VM detonation.</w:t>
      </w:r>
    </w:p>
    <w:p>
      <w:r>
        <w:t>[FIGURE INSERTED HERE]</w:t>
      </w:r>
    </w:p>
    <w:p>
      <w:pPr>
        <w:spacing w:before="280" w:after="120"/>
      </w:pPr>
      <w:r>
        <w:rPr>
          <w:rFonts w:ascii="Times New Roman" w:hAnsi="Times New Roman"/>
          <w:b/>
          <w:color w:val="1E3A8A"/>
          <w:sz w:val="28"/>
        </w:rPr>
        <w:t>15 Explainability and Operational Triage</w:t>
      </w:r>
    </w:p>
    <w:p>
      <w:r>
        <w:t>Latent embeddings \mathbf{z}_{\text{fused}} \in \mathbb{S}^{127} project into distinct, well-separated manifold clusters across malware families under t-SNE (Fig. fig:tsne_manifold). Attention weights \alpha_m serve as diagnostic modality confidence indicators for Security Operations Center (SOC) analysts: when static code is obfuscated, attention dynamically reallocates to syscalls, providing operational interpretability.</w:t>
      </w:r>
    </w:p>
    <w:p>
      <w:r>
        <w:t>[FIGURE INSERTED HERE]</w:t>
      </w:r>
    </w:p>
    <w:p>
      <w:pPr>
        <w:spacing w:before="280" w:after="120"/>
      </w:pPr>
      <w:r>
        <w:rPr>
          <w:rFonts w:ascii="Times New Roman" w:hAnsi="Times New Roman"/>
          <w:b/>
          <w:color w:val="1E3A8A"/>
          <w:sz w:val="28"/>
        </w:rPr>
        <w:t>16 Threats to Validity</w:t>
      </w:r>
    </w:p>
    <w:p>
      <w:r>
        <w:t>The conclusions of this study are subject to 14 documented validity threats:</w:t>
      </w:r>
    </w:p>
    <w:p>
      <w:r>
        <w:t>• Dataset Scale: Evaluations were conducted on a 10,000-sample materialized cohort of a 100,000 catalog.</w:t>
        <w:br/>
        <w:t xml:space="preserve">    • Single-ISA Scope: Evaluation is restricted to Windows PE x86/x64 binaries.</w:t>
        <w:br/>
        <w:t xml:space="preserve">    • Sandbox Incompleteness: Traces are subject to anti-sandbox evasion and execution timeouts.</w:t>
        <w:br/>
        <w:t xml:space="preserve">    • CFG Construction Overhead: angr CFG generation on massive binaries was bounded by a 30s timeout.</w:t>
        <w:br/>
        <w:t xml:space="preserve">    • UPX Benign False Positives: Packed benign executables exhibit a 24.00% FPR.</w:t>
        <w:br/>
        <w:t xml:space="preserve">    • Dead-Code Truncation: Sequence flooding pushes API calls beyond the 2048 token budget (40.00% FNR).</w:t>
        <w:br/>
        <w:t xml:space="preserve">    • Lack of Theoretical Guarantee: GRAM regularizes parallelotope volume empirically without formal collapse proofs.</w:t>
        <w:br/>
        <w:t xml:space="preserve">    • Continuous Perturbation Gap: Continuous hypersphere perturbations do not map to valid binary PE files.</w:t>
        <w:br/>
        <w:t xml:space="preserve">    • Label Noise in Public Sources: Malware family attribution inherits heuristic AV labeling bias.</w:t>
        <w:br/>
        <w:t xml:space="preserve">    • Operand Normalization Loss: Abstraction of MEM and REG masks heap layout geometry.</w:t>
        <w:br/>
        <w:t xml:space="preserve">    • Hardware Dependence: Neural latency benchmarks are CPU-specific (28.87 ms on Apple Silicon). Static preprocessing (59.35 ms) and dynamic guest-VM detonation (30\text{--}120 s) vary across host virtualization environments.</w:t>
        <w:br/>
        <w:t xml:space="preserve">    • Simulated Chronological Partitions: Chronological timestamps were assigned based on catalog simulation metadata rather than longitudinal real-world telemetry; prospective temporal drift under evolving malware ecologies remains unmeasured.</w:t>
        <w:br/>
        <w:t xml:space="preserve">    • Single-Family Holdout Constraint: The 157-sample WannaCry evaluation tests variant detection when a specific strain is withheld from training. However, shared cryptographic routines and compiler runtimes across other training families provide inductive priors; it does not establish universal zero-day immunity.</w:t>
        <w:br/>
        <w:t xml:space="preserve">    • External Validity: Generalization to non-PE formats (ELF, Mach-O) requires intermediate IR compilation.</w:t>
      </w:r>
    </w:p>
    <w:p>
      <w:pPr>
        <w:spacing w:before="280" w:after="120"/>
      </w:pPr>
      <w:r>
        <w:rPr>
          <w:rFonts w:ascii="Times New Roman" w:hAnsi="Times New Roman"/>
          <w:b/>
          <w:color w:val="1E3A8A"/>
          <w:sz w:val="28"/>
        </w:rPr>
        <w:t>17 Discussion</w:t>
      </w:r>
    </w:p>
    <w:p>
      <w:r>
        <w:t>The empirical results demonstrate that cross-modal representation alignment achieves substantially higher observed detection performance than unimodal detection. While individual unimodal branches achieve accuracies between 80.07% and 86.47%, the joint tri-modal framework reaches 99.73%. This performance gain stems from the geometric synergy enforced by pairwise InfoNCE alignment and Volumetric Gramian regularization, which prevents modality collapse and preserves orthogonal semantic capacity. Furthermore, dynamic attention weights serve as an adaptive defense: when static token sequences are distorted by packing or instruction padding, the architecture dynamically upweights dynamic behavioral traces. Crucially, the two-stage operational triage filter resolves 86.2% of samples within the 76.90 ms static ingestion path, successfully insulating high-cost dynamic sandbox queues from throughput collapse.</w:t>
      </w:r>
    </w:p>
    <w:p>
      <w:pPr>
        <w:spacing w:before="280" w:after="120"/>
      </w:pPr>
      <w:r>
        <w:rPr>
          <w:rFonts w:ascii="Times New Roman" w:hAnsi="Times New Roman"/>
          <w:b/>
          <w:color w:val="1E3A8A"/>
          <w:sz w:val="28"/>
        </w:rPr>
        <w:t>18 Limitations</w:t>
      </w:r>
    </w:p>
    <w:p>
      <w:r>
        <w:t>Primary limitations include: (1) single-ISA Windows PE focus, which restricts direct application to ELF or Mach-O binaries; (2) sandbox queue dependence for the 13.8% deferred ambiguous cohort; (3) vulnerability of static opcodes to compression entropy under UPX packing (24.00% FPR on benign packed binaries); (4) sequence truncation under dead-code insertion (40.00% FNR); and (5) reliance on catalog simulation metadata for chronological partitioning rather than longitudinal prospective field data. Future research will explore intermediate compiler representations (e.g., LLVM IR) to achieve cross-ISA portability and evaluate longitudinal telemetry across multi-year enterprise deployments.</w:t>
      </w:r>
    </w:p>
    <w:p>
      <w:pPr>
        <w:spacing w:before="280" w:after="120"/>
      </w:pPr>
      <w:r>
        <w:rPr>
          <w:rFonts w:ascii="Times New Roman" w:hAnsi="Times New Roman"/>
          <w:b/>
          <w:color w:val="1E3A8A"/>
          <w:sz w:val="28"/>
        </w:rPr>
        <w:t>19 Conclusion</w:t>
      </w:r>
    </w:p>
    <w:p>
      <w:r>
        <w:t>This study presented a reproducible, evidence-driven tri-modal deep learning framework for malware detection, accompanied by a PRISMA 2020 systematic review of 15 primary peer-reviewed journal benchmark studies. By regularizing Opcode Transformers, CFG-GINs, and Syscall Bi-LSTMs via pairwise InfoNCE alignment and Volumetric Gramian loss, the architecture achieved 99.73% accuracy and 100.00% precision on 1,500 held-out test binaries, with 100.00% recall on a single-family WannaCry sample holdout. Transparent disclosure of failure modes under UPX packing (24.00% benign FPR) and dead-code insertion (40.00% FNR) establishes defensible operational boundaries for the evaluated enterprise deployment scenario.</w:t>
      </w:r>
    </w:p>
    <w:p>
      <w:pPr>
        <w:spacing w:before="280" w:after="120"/>
      </w:pPr>
      <w:r>
        <w:rPr>
          <w:rFonts w:ascii="Times New Roman" w:hAnsi="Times New Roman"/>
          <w:b/>
          <w:color w:val="1E3A8A"/>
          <w:sz w:val="28"/>
        </w:rPr>
        <w:t>20 Data and Code Availability</w:t>
      </w:r>
    </w:p>
    <w:p>
      <w:r>
        <w:t>The complete code repository, model checkpoints, tensor shards, and automated test suite are openly available at \url{https://github.com/kohlirupesh19/Multi-Model.git} on the dedicated publication-validation branch. The repository provides scripts and artifacts for reproducing the reported experiments (bash reproduce_all.sh or python3 reproduce_all.py). Dedicated verification audit ledgers and raw evaluation artifacts are provided in the repository's reports/ and results/verified/ directories.</w:t>
      </w:r>
    </w:p>
    <w:p>
      <w:pPr>
        <w:spacing w:before="280" w:after="120"/>
      </w:pPr>
      <w:r>
        <w:rPr>
          <w:rFonts w:ascii="Times New Roman" w:hAnsi="Times New Roman"/>
          <w:b/>
          <w:color w:val="1E3A8A"/>
          <w:sz w:val="28"/>
        </w:rPr>
        <w:t>21 Declarations</w:t>
      </w:r>
    </w:p>
    <w:p>
      <w:r>
        <w:t xml:space="preserve">Funding: No external funding was received for conducting this study.  </w:t>
        <w:br/>
        <w:t xml:space="preserve">Conflict of Interest: The authors declare that they have no conflict of interest.  </w:t>
        <w:br/>
        <w:t xml:space="preserve">Data Availability Statement: All derived benchmark manifests, pre-computed feature shards, checkpoints, and evaluation scripts are available in the public repository. Due to security containment policies and third-party licensing constraints, raw executable binaries cannot be redistributed directly; they must be acquired from their primary archival repositories (VirusShare, VX-Underground) using the provided SHA-256 catalog manifests.  </w:t>
        <w:br/>
        <w:t xml:space="preserve">Authors' Contributions: All authors contributed to study conceptualization, architecture design, formal PRISMA review, software implementation, benchmarking, and manuscript preparation.  </w:t>
        <w:br/>
        <w:t>Ethical Approval: This article does not contain any studies with human participants or animals performed by any of the authors.</w:t>
      </w:r>
    </w:p>
    <w:p>
      <w:r>
        <w:t>\bibliography{sn-bibliography}</w:t>
      </w:r>
    </w:p>
    <w:p>
      <w:r>
        <w:t>\end{document}</w:t>
      </w:r>
    </w:p>
    <w:p>
      <w:pPr>
        <w:spacing w:before="280" w:after="120"/>
      </w:pPr>
      <w:r>
        <w:rPr>
          <w:rFonts w:ascii="Times New Roman" w:hAnsi="Times New Roman"/>
          <w:b/>
          <w:color w:val="1E3A8A"/>
          <w:sz w:val="28"/>
        </w:rPr>
        <w:t>Declarations</w:t>
      </w:r>
    </w:p>
    <w:p>
      <w:r>
        <w:rPr>
          <w:b/>
        </w:rPr>
        <w:t xml:space="preserve">• Funding: </w:t>
      </w:r>
      <w:r>
        <w:t>No external funding was received for this research.</w:t>
      </w:r>
    </w:p>
    <w:p>
      <w:r>
        <w:rPr>
          <w:b/>
        </w:rPr>
        <w:t xml:space="preserve">• Conflict of Interest: </w:t>
      </w:r>
      <w:r>
        <w:t>The authors declare no competing financial or non-financial interests.</w:t>
      </w:r>
    </w:p>
    <w:p>
      <w:r>
        <w:rPr>
          <w:b/>
        </w:rPr>
        <w:t xml:space="preserve">• Availability of Data and Code: </w:t>
      </w:r>
      <w:r>
        <w:t>The derived experimental artifacts, benchmark manifests, pre-computed multimodal feature shards, model checkpoints, preprocessing code, and reproduction test suites are openly available at https://github.com/kohlirupesh19/Multi-Model.git on the dedicated publication-validation branch. The repository provides scripts and artifacts for reproducing the reported experiments (bash reproduce_all.sh or python3 reproduce_all.py). Due to security containment policies and third-party licensing constraints, raw executable binaries cannot be redistributed directly; they must be acquired from their primary archival repositories (VirusShare, VX-Underground) using the provided SHA-256 catalog manifests.</w:t>
      </w:r>
    </w:p>
    <w:p>
      <w:r>
        <w:rPr>
          <w:b/>
        </w:rPr>
        <w:t xml:space="preserve">• Author Contributions: </w:t>
      </w:r>
      <w:r>
        <w:t>All authors contributed equally to study conception, literature screening, software development, benchmarking, and manuscript preparation.</w:t>
      </w:r>
    </w:p>
    <w:p>
      <w:pPr>
        <w:spacing w:before="320" w:after="160"/>
      </w:pPr>
      <w:r>
        <w:rPr>
          <w:rFonts w:ascii="Times New Roman" w:hAnsi="Times New Roman"/>
          <w:b/>
          <w:color w:val="1E3A8A"/>
          <w:sz w:val="28"/>
        </w:rPr>
        <w:t>References</w:t>
      </w:r>
    </w:p>
    <w:p>
      <w:pPr>
        <w:spacing w:after="80"/>
        <w:ind w:left="360" w:hanging="360"/>
      </w:pPr>
      <w:r>
        <w:rPr>
          <w:b/>
        </w:rPr>
        <w:t xml:space="preserve">[1] </w:t>
      </w:r>
      <w:r>
        <w:t xml:space="preserve">Matthew J. Page and Joanne E. McKenzie and Patrick M. Bossuyt and Isabelle Boutron and Tammy C. Hoffmann and Cynthia D. Mulrow and Larissa Shamseer and Jennifer M. Tetzlaff and Elie A. Akl and Sue E. Brennan and Roger Chou and Julie Glanville and Jeremy M. Grimshaw and Asbjørn Hróbjartsson and Manoj M. Lalu and Tianjing Li and Elizabeth W. Loder and Evan Mayo-Wilson and Steve McDonald and Luke A. McGuinness and Lesley A. Stewart and James Thomas and Andrea C. Tricco and Vivian A. Welch and Penny Whiting and David Moher (2021). The PRISMA 2020 statement: an updated guideline for reporting systematic reviews. </w:t>
      </w:r>
      <w:r>
        <w:rPr>
          <w:i/>
        </w:rPr>
        <w:t xml:space="preserve">Systematic Reviews. </w:t>
      </w:r>
      <w:r>
        <w:rPr>
          <w:color w:val="2563EB"/>
        </w:rPr>
        <w:t>https://doi.org/10.1186/s13643-021-01626-4</w:t>
      </w:r>
    </w:p>
    <w:p>
      <w:pPr>
        <w:spacing w:after="80"/>
        <w:ind w:left="360" w:hanging="360"/>
      </w:pPr>
      <w:r>
        <w:rPr>
          <w:b/>
        </w:rPr>
        <w:t xml:space="preserve">[2] </w:t>
      </w:r>
      <w:r>
        <w:t xml:space="preserve">Daniel Gibert and Carles Mateu and Jordi Planes (2020). The rise of machine learning for detection and classification of malware: Research developments, trends and challenges. </w:t>
      </w:r>
      <w:r>
        <w:rPr>
          <w:i/>
        </w:rPr>
        <w:t xml:space="preserve">Journal of Network and Computer Applications. </w:t>
      </w:r>
      <w:r>
        <w:rPr>
          <w:color w:val="2563EB"/>
        </w:rPr>
        <w:t>https://doi.org/10.1016/j.jnca.2019.102526</w:t>
      </w:r>
    </w:p>
    <w:p>
      <w:pPr>
        <w:spacing w:after="80"/>
        <w:ind w:left="360" w:hanging="360"/>
      </w:pPr>
      <w:r>
        <w:rPr>
          <w:b/>
        </w:rPr>
        <w:t xml:space="preserve">[3] </w:t>
      </w:r>
      <w:r>
        <w:t xml:space="preserve">Tom Landman and Nir Nissim (2021). Deep-Hook: A trusted deep learning-based framework for unknown malware detection and classification in Linux cloud environments. </w:t>
      </w:r>
      <w:r>
        <w:rPr>
          <w:i/>
        </w:rPr>
        <w:t xml:space="preserve">Neural Networks. </w:t>
      </w:r>
      <w:r>
        <w:rPr>
          <w:color w:val="2563EB"/>
        </w:rPr>
        <w:t>https://doi.org/10.1016/j.neunet.2021.09.019</w:t>
      </w:r>
    </w:p>
    <w:p>
      <w:pPr>
        <w:spacing w:after="80"/>
        <w:ind w:left="360" w:hanging="360"/>
      </w:pPr>
      <w:r>
        <w:rPr>
          <w:b/>
        </w:rPr>
        <w:t xml:space="preserve">[4] </w:t>
      </w:r>
      <w:r>
        <w:t xml:space="preserve">Shuai Jiang and Cai Fu and Shuai He and Jianqiang Lv and Lansheng Han and Hong Hu (2024). BinCola: Diversity-Sensitive Contrastive Learning for Binary Code Similarity Detection. </w:t>
      </w:r>
      <w:r>
        <w:rPr>
          <w:i/>
        </w:rPr>
        <w:t xml:space="preserve">IEEE Transactions on Software Engineering. </w:t>
      </w:r>
      <w:r>
        <w:rPr>
          <w:color w:val="2563EB"/>
        </w:rPr>
        <w:t>https://doi.org/10.1109/TSE.2024.3411072</w:t>
      </w:r>
    </w:p>
    <w:p>
      <w:pPr>
        <w:spacing w:after="80"/>
        <w:ind w:left="360" w:hanging="360"/>
      </w:pPr>
      <w:r>
        <w:rPr>
          <w:b/>
        </w:rPr>
        <w:t xml:space="preserve">[5] </w:t>
      </w:r>
      <w:r>
        <w:t xml:space="preserve">Dongkwan Kim and Eunsoo Kim and Sang Kil Cha and Sooel Son and Yongdae Kim (2023). Revisiting Binary Code Similarity Analysis Using Interpretable Feature Engineering and Lessons Learned. </w:t>
      </w:r>
      <w:r>
        <w:rPr>
          <w:i/>
        </w:rPr>
        <w:t xml:space="preserve">IEEE Transactions on Software Engineering. </w:t>
      </w:r>
      <w:r>
        <w:rPr>
          <w:color w:val="2563EB"/>
        </w:rPr>
        <w:t>https://doi.org/10.1109/TSE.2022.3187689</w:t>
      </w:r>
    </w:p>
    <w:p>
      <w:pPr>
        <w:spacing w:after="80"/>
        <w:ind w:left="360" w:hanging="360"/>
      </w:pPr>
      <w:r>
        <w:rPr>
          <w:b/>
        </w:rPr>
        <w:t xml:space="preserve">[6] </w:t>
      </w:r>
      <w:r>
        <w:t xml:space="preserve">Tong Han and Chengcheng Xu and Dazhi Zhan and Tianfeng Wang and Zhisong Pan and Shize Guo (2026). SHIELD: Semantic-guided graph contrastive learning for malware detection. </w:t>
      </w:r>
      <w:r>
        <w:rPr>
          <w:i/>
        </w:rPr>
        <w:t xml:space="preserve">Expert Systems with Applications. </w:t>
      </w:r>
      <w:r>
        <w:rPr>
          <w:color w:val="2563EB"/>
        </w:rPr>
        <w:t>https://doi.org/10.1016/j.eswa.2026.131108</w:t>
      </w:r>
    </w:p>
    <w:p>
      <w:pPr>
        <w:spacing w:after="80"/>
        <w:ind w:left="360" w:hanging="360"/>
      </w:pPr>
      <w:r>
        <w:rPr>
          <w:b/>
        </w:rPr>
        <w:t xml:space="preserve">[7] </w:t>
      </w:r>
      <w:r>
        <w:t xml:space="preserve">Jin Liu and Yong Wang and Zhaoguo Song and Lin Song and Xiaoyu Zhang (2023). Few-Shot Malware Variants Detection Via Heterogeneous Graph Contrastive Learning. </w:t>
      </w:r>
      <w:r>
        <w:rPr>
          <w:i/>
        </w:rPr>
        <w:t xml:space="preserve">IEEE Transactions on Dependable and Secure Computing. </w:t>
      </w:r>
      <w:r>
        <w:rPr>
          <w:color w:val="2563EB"/>
        </w:rPr>
        <w:t>https://doi.org/10.1109/TDSC.2022.3216902</w:t>
      </w:r>
    </w:p>
    <w:p>
      <w:pPr>
        <w:spacing w:after="80"/>
        <w:ind w:left="360" w:hanging="360"/>
      </w:pPr>
      <w:r>
        <w:rPr>
          <w:b/>
        </w:rPr>
        <w:t xml:space="preserve">[8] </w:t>
      </w:r>
      <w:r>
        <w:t xml:space="preserve">Weizhong Qiang and Lei Yang and Hai Jin (2022). Efficient and Robust Malware Detection Based on Control Flow Traces Using Deep Neural Networks. </w:t>
      </w:r>
      <w:r>
        <w:rPr>
          <w:i/>
        </w:rPr>
        <w:t xml:space="preserve">Computers \&amp; Security. </w:t>
      </w:r>
      <w:r>
        <w:rPr>
          <w:color w:val="2563EB"/>
        </w:rPr>
        <w:t>https://doi.org/10.1016/j.cose.2022.102871</w:t>
      </w:r>
    </w:p>
    <w:p>
      <w:pPr>
        <w:spacing w:after="80"/>
        <w:ind w:left="360" w:hanging="360"/>
      </w:pPr>
      <w:r>
        <w:rPr>
          <w:b/>
        </w:rPr>
        <w:t xml:space="preserve">[9] </w:t>
      </w:r>
      <w:r>
        <w:t xml:space="preserve">Robert J. Joyce and Dev Amlani and Charles Nicholas and Edward Raff (2023). MOTIF: A Malware Reference Dataset with Ground Truth Family Labels. </w:t>
      </w:r>
      <w:r>
        <w:rPr>
          <w:i/>
        </w:rPr>
        <w:t xml:space="preserve">Computers \&amp; Security. </w:t>
      </w:r>
      <w:r>
        <w:rPr>
          <w:color w:val="2563EB"/>
        </w:rPr>
        <w:t>https://doi.org/10.1016/j.cose.2022.102921</w:t>
      </w:r>
    </w:p>
    <w:p>
      <w:pPr>
        <w:spacing w:after="80"/>
        <w:ind w:left="360" w:hanging="360"/>
      </w:pPr>
      <w:r>
        <w:rPr>
          <w:b/>
        </w:rPr>
        <w:t xml:space="preserve">[10] </w:t>
      </w:r>
      <w:r>
        <w:t xml:space="preserve">Ying Jiang and Gang Li and Shuai Li and Yanhua Guo (2024). BenchMFC: A benchmark dataset for trustworthy malware family classification under concept drift. </w:t>
      </w:r>
      <w:r>
        <w:rPr>
          <w:i/>
        </w:rPr>
        <w:t xml:space="preserve">Computers \&amp; Security. </w:t>
      </w:r>
      <w:r>
        <w:rPr>
          <w:color w:val="2563EB"/>
        </w:rPr>
        <w:t>https://doi.org/10.1016/j.cose.2024.103706</w:t>
      </w:r>
    </w:p>
    <w:p>
      <w:pPr>
        <w:spacing w:after="80"/>
        <w:ind w:left="360" w:hanging="360"/>
      </w:pPr>
      <w:r>
        <w:rPr>
          <w:b/>
        </w:rPr>
        <w:t xml:space="preserve">[11] </w:t>
      </w:r>
      <w:r>
        <w:t xml:space="preserve">Alejandro Guerra-Manzanares and Hayretdin Bahsi (2022). On the relativity of time: Implications and challenges of data drift on long-term effective android malware detection. </w:t>
      </w:r>
      <w:r>
        <w:rPr>
          <w:i/>
        </w:rPr>
        <w:t xml:space="preserve">Computers \&amp; Security. </w:t>
      </w:r>
      <w:r>
        <w:rPr>
          <w:color w:val="2563EB"/>
        </w:rPr>
        <w:t>https://doi.org/10.1016/j.cose.2022.102835</w:t>
      </w:r>
    </w:p>
    <w:p>
      <w:pPr>
        <w:spacing w:after="80"/>
        <w:ind w:left="360" w:hanging="360"/>
      </w:pPr>
      <w:r>
        <w:rPr>
          <w:b/>
        </w:rPr>
        <w:t xml:space="preserve">[12] </w:t>
      </w:r>
      <w:r>
        <w:t xml:space="preserve">Mohammed K. Alzaylaee and Suhaidi Y. Yerima and Sakir Sezer (2020). DL-Droid: Deep learning based android malware detection using real devices. </w:t>
      </w:r>
      <w:r>
        <w:rPr>
          <w:i/>
        </w:rPr>
        <w:t xml:space="preserve">Computers \&amp; Security. </w:t>
      </w:r>
      <w:r>
        <w:rPr>
          <w:color w:val="2563EB"/>
        </w:rPr>
        <w:t>https://doi.org/10.1016/j.cose.2019.101663</w:t>
      </w:r>
    </w:p>
    <w:p>
      <w:pPr>
        <w:spacing w:after="80"/>
        <w:ind w:left="360" w:hanging="360"/>
      </w:pPr>
      <w:r>
        <w:rPr>
          <w:b/>
        </w:rPr>
        <w:t xml:space="preserve">[13] </w:t>
      </w:r>
      <w:r>
        <w:t xml:space="preserve">Le Zhang and Vrizlynn L. L. Thing and Yu Cheng (2019). A scalable and extensible framework for android malware detection and family attribution. </w:t>
      </w:r>
      <w:r>
        <w:rPr>
          <w:i/>
        </w:rPr>
        <w:t xml:space="preserve">Computers \&amp; Security. </w:t>
      </w:r>
      <w:r>
        <w:rPr>
          <w:color w:val="2563EB"/>
        </w:rPr>
        <w:t>https://doi.org/10.1016/j.cose.2018.10.001</w:t>
      </w:r>
    </w:p>
    <w:p>
      <w:pPr>
        <w:spacing w:after="80"/>
        <w:ind w:left="360" w:hanging="360"/>
      </w:pPr>
      <w:r>
        <w:rPr>
          <w:b/>
        </w:rPr>
        <w:t xml:space="preserve">[14] </w:t>
      </w:r>
      <w:r>
        <w:t xml:space="preserve">Guangming Liu and Xin Zhou and Jianmin Pang and Feng Yue and Wenfu Liu and Junchao Wang (2023). Codeformer: A GNN-Nested Transformer Model for Binary Code Similarity Detection. </w:t>
      </w:r>
      <w:r>
        <w:rPr>
          <w:i/>
        </w:rPr>
        <w:t xml:space="preserve">Electronics. </w:t>
      </w:r>
      <w:r>
        <w:rPr>
          <w:color w:val="2563EB"/>
        </w:rPr>
        <w:t>https://doi.org/10.3390/electronics12071722</w:t>
      </w:r>
    </w:p>
    <w:p>
      <w:pPr>
        <w:spacing w:after="80"/>
        <w:ind w:left="360" w:hanging="360"/>
      </w:pPr>
      <w:r>
        <w:rPr>
          <w:b/>
        </w:rPr>
        <w:t xml:space="preserve">[15] </w:t>
      </w:r>
      <w:r>
        <w:t xml:space="preserve">Ananya Redhu and Prince Choudhary and Kathiravan Srinivasan and Tapan Kumar Das (2024). Deep learning-powered malware detection in cyberspace: a contemporary review. </w:t>
      </w:r>
      <w:r>
        <w:rPr>
          <w:i/>
        </w:rPr>
        <w:t xml:space="preserve">Frontiers in Physics. </w:t>
      </w:r>
      <w:r>
        <w:rPr>
          <w:color w:val="2563EB"/>
        </w:rPr>
        <w:t>https://doi.org/10.3389/fphy.2024.1349463</w:t>
      </w:r>
    </w:p>
    <w:p>
      <w:pPr>
        <w:spacing w:after="80"/>
        <w:ind w:left="360" w:hanging="360"/>
      </w:pPr>
      <w:r>
        <w:rPr>
          <w:b/>
        </w:rPr>
        <w:t xml:space="preserve">[16] </w:t>
      </w:r>
      <w:r>
        <w:t xml:space="preserve">Tadas Baltru{\v{s}}aitis and Chaitanya Ahuja and Louis-Philippe Morency (2019). Multimodal Machine Learning: A Survey and Taxonomy. </w:t>
      </w:r>
      <w:r>
        <w:rPr>
          <w:i/>
        </w:rPr>
        <w:t xml:space="preserve">IEEE Transactions on Pattern Analysis and Machine Intelligence. </w:t>
      </w:r>
      <w:r>
        <w:rPr>
          <w:color w:val="2563EB"/>
        </w:rPr>
        <w:t>https://doi.org/10.1109/TPAMI.2018.2798607</w:t>
      </w:r>
    </w:p>
    <w:p>
      <w:pPr>
        <w:spacing w:after="80"/>
        <w:ind w:left="360" w:hanging="360"/>
      </w:pPr>
      <w:r>
        <w:rPr>
          <w:b/>
        </w:rPr>
        <w:t xml:space="preserve">[17] </w:t>
      </w:r>
      <w:r>
        <w:t xml:space="preserve">Zonghan Wu and Shirui Pan and Fengwen Chen and Guodong Long and Chengqi Zhang and Philip S. Yu (2021). A Comprehensive Survey on Graph Neural Networks. </w:t>
      </w:r>
      <w:r>
        <w:rPr>
          <w:i/>
        </w:rPr>
        <w:t xml:space="preserve">IEEE Transactions on Neural Networks and Learning Systems. </w:t>
      </w:r>
      <w:r>
        <w:rPr>
          <w:color w:val="2563EB"/>
        </w:rPr>
        <w:t>https://doi.org/10.1109/TNNLS.2020.2978386</w:t>
      </w:r>
    </w:p>
    <w:p>
      <w:pPr>
        <w:spacing w:after="80"/>
        <w:ind w:left="360" w:hanging="360"/>
      </w:pPr>
      <w:r>
        <w:rPr>
          <w:b/>
        </w:rPr>
        <w:t xml:space="preserve">[18] </w:t>
      </w:r>
      <w:r>
        <w:t xml:space="preserve">Yi Tay and Mostafa Dehghani and Dara Bahri and Donald Metzler (2022). Efficient Transformers: A Survey. </w:t>
      </w:r>
      <w:r>
        <w:rPr>
          <w:i/>
        </w:rPr>
        <w:t xml:space="preserve">ACM Computing Surveys. </w:t>
      </w:r>
      <w:r>
        <w:rPr>
          <w:color w:val="2563EB"/>
        </w:rPr>
        <w:t>https://doi.org/10.1145/3530811</w:t>
      </w:r>
    </w:p>
    <w:p>
      <w:pPr>
        <w:spacing w:after="80"/>
        <w:ind w:left="360" w:hanging="360"/>
      </w:pPr>
      <w:r>
        <w:rPr>
          <w:b/>
        </w:rPr>
        <w:t xml:space="preserve">[19] </w:t>
      </w:r>
      <w:r>
        <w:t xml:space="preserve">Phuc H. Le-Khac and Graham Healy and Alan F. Smeaton (2020). Contrastive Representation Learning: A Framework and Review. </w:t>
      </w:r>
      <w:r>
        <w:rPr>
          <w:i/>
        </w:rPr>
        <w:t xml:space="preserve">IEEE Access. </w:t>
      </w:r>
      <w:r>
        <w:rPr>
          <w:color w:val="2563EB"/>
        </w:rPr>
        <w:t>https://doi.org/10.1109/ACCESS.2020.3031549</w:t>
      </w:r>
    </w:p>
    <w:p>
      <w:pPr>
        <w:spacing w:after="80"/>
        <w:ind w:left="360" w:hanging="360"/>
      </w:pPr>
      <w:r>
        <w:rPr>
          <w:b/>
        </w:rPr>
        <w:t xml:space="preserve">[20] </w:t>
      </w:r>
      <w:r>
        <w:t xml:space="preserve">Pei Liu and Xiangyu Zhang and Marco Pistoia and Yun Shen and Guofei Gu (2022). Deep Learning for Android Malware Defenses: A Systematic Literature Review. </w:t>
      </w:r>
      <w:r>
        <w:rPr>
          <w:i/>
        </w:rPr>
        <w:t xml:space="preserve">ACM Computing Surveys. </w:t>
      </w:r>
      <w:r>
        <w:rPr>
          <w:color w:val="2563EB"/>
        </w:rPr>
        <w:t>https://doi.org/10.1145/3544968</w:t>
      </w:r>
    </w:p>
    <w:p>
      <w:pPr>
        <w:spacing w:after="80"/>
        <w:ind w:left="360" w:hanging="360"/>
      </w:pPr>
      <w:r>
        <w:rPr>
          <w:b/>
        </w:rPr>
        <w:t xml:space="preserve">[21] </w:t>
      </w:r>
      <w:r>
        <w:t xml:space="preserve">Kamran Shaukat and Suhuai Luo and Vijay Varadharajan and Ibrahim A. Hameed and Min Xu (2020). A Survey on Machine Learning Techniques for Cyber Security in the Last Decade. </w:t>
      </w:r>
      <w:r>
        <w:rPr>
          <w:i/>
        </w:rPr>
        <w:t xml:space="preserve">IEEE Access. </w:t>
      </w:r>
      <w:r>
        <w:rPr>
          <w:color w:val="2563EB"/>
        </w:rPr>
        <w:t>https://doi.org/10.1109/ACCESS.2020.3041951</w:t>
      </w:r>
    </w:p>
    <w:p>
      <w:pPr>
        <w:spacing w:after="80"/>
        <w:ind w:left="360" w:hanging="360"/>
      </w:pPr>
      <w:r>
        <w:rPr>
          <w:b/>
        </w:rPr>
        <w:t xml:space="preserve">[22] </w:t>
      </w:r>
      <w:r>
        <w:t xml:space="preserve">Jean-Marie Borello and Ludovic M{\'e} (2008). Code obfuscation techniques for metamorphic viruses. </w:t>
      </w:r>
      <w:r>
        <w:rPr>
          <w:i/>
        </w:rPr>
        <w:t xml:space="preserve">Journal in Computer Virology. </w:t>
      </w:r>
      <w:r>
        <w:rPr>
          <w:color w:val="2563EB"/>
        </w:rPr>
        <w:t>https://doi.org/10.1007/s11416-008-0084-2</w:t>
      </w:r>
    </w:p>
    <w:p>
      <w:pPr>
        <w:spacing w:after="80"/>
        <w:ind w:left="360" w:hanging="360"/>
      </w:pPr>
      <w:r>
        <w:rPr>
          <w:b/>
        </w:rPr>
        <w:t xml:space="preserve">[23] </w:t>
      </w:r>
      <w:r>
        <w:t xml:space="preserve">D. W. Fernando and N. Komninos (2022). FeSA: Feature selection architecture for ransomware detection under concept drift. </w:t>
      </w:r>
      <w:r>
        <w:rPr>
          <w:i/>
        </w:rPr>
        <w:t xml:space="preserve">Computers \&amp; Security. </w:t>
      </w:r>
      <w:r>
        <w:rPr>
          <w:color w:val="2563EB"/>
        </w:rPr>
        <w:t>https://doi.org/10.1016/j.cose.2022.102659</w:t>
      </w:r>
    </w:p>
    <w:p>
      <w:pPr>
        <w:spacing w:after="80"/>
        <w:ind w:left="360" w:hanging="360"/>
      </w:pPr>
      <w:r>
        <w:rPr>
          <w:b/>
        </w:rPr>
        <w:t xml:space="preserve">[24] </w:t>
      </w:r>
      <w:r>
        <w:t xml:space="preserve">X. Ni and Z. Zhang and Y. Xiao and Y. Dong (2018). MAL-FCNN: An effective deep learning approach using visualization image to detect malware variants. </w:t>
      </w:r>
      <w:r>
        <w:rPr>
          <w:i/>
        </w:rPr>
        <w:t xml:space="preserve">Computers \&amp; Security. </w:t>
      </w:r>
      <w:r>
        <w:rPr>
          <w:color w:val="2563EB"/>
        </w:rPr>
        <w:t>https://doi.org/10.1016/j.cose.2018.04.011</w:t>
      </w:r>
    </w:p>
    <w:p>
      <w:pPr>
        <w:spacing w:after="80"/>
        <w:ind w:left="360" w:hanging="360"/>
      </w:pPr>
      <w:r>
        <w:rPr>
          <w:b/>
        </w:rPr>
        <w:t xml:space="preserve">[25] </w:t>
      </w:r>
      <w:r>
        <w:t xml:space="preserve">Guillermo Suarez-Tangil and Sanchari Das and Mansour Ahmadi and Juan Tapiador and Gianluca Stringhini (2018). Toward a more dependable hybrid analysis of android malware using aspect-oriented programming. </w:t>
      </w:r>
      <w:r>
        <w:rPr>
          <w:i/>
        </w:rPr>
        <w:t xml:space="preserve">Computers \&amp; Security. </w:t>
      </w:r>
      <w:r>
        <w:rPr>
          <w:color w:val="2563EB"/>
        </w:rPr>
        <w:t>https://doi.org/10.1016/j.cose.2017.11.006</w:t>
      </w:r>
    </w:p>
    <w:p>
      <w:pPr>
        <w:spacing w:after="80"/>
        <w:ind w:left="360" w:hanging="360"/>
      </w:pPr>
      <w:r>
        <w:rPr>
          <w:b/>
        </w:rPr>
        <w:t xml:space="preserve">[26] </w:t>
      </w:r>
      <w:r>
        <w:t xml:space="preserve">Weina Han and Jing Xue and Yongjun Wang and Le Liu and Zhihua Kong (2019). MalInsight: A systematic profiling based malware detection framework. </w:t>
      </w:r>
      <w:r>
        <w:rPr>
          <w:i/>
        </w:rPr>
        <w:t xml:space="preserve">Journal of Network and Computer Applications. </w:t>
      </w:r>
      <w:r>
        <w:rPr>
          <w:color w:val="2563EB"/>
        </w:rPr>
        <w:t>https://doi.org/10.1016/j.jnca.2018.10.022</w:t>
      </w:r>
    </w:p>
    <w:p>
      <w:pPr>
        <w:spacing w:after="80"/>
        <w:ind w:left="360" w:hanging="360"/>
      </w:pPr>
      <w:r>
        <w:rPr>
          <w:b/>
        </w:rPr>
        <w:t xml:space="preserve">[27] </w:t>
      </w:r>
      <w:r>
        <w:t xml:space="preserve">Abdulaziz Almalaq and Saleh Albadran and Mohamed A. Mohamed (2023). An Adoptive Miner-Misuse Based Online Anomaly Detection Approach in the Power System: An Optimum Reinforcement Learning Method. </w:t>
      </w:r>
      <w:r>
        <w:rPr>
          <w:i/>
        </w:rPr>
        <w:t xml:space="preserve">Mathematics. </w:t>
      </w:r>
      <w:r>
        <w:rPr>
          <w:color w:val="2563EB"/>
        </w:rPr>
        <w:t>https://doi.org/10.3390/math11040884</w:t>
      </w:r>
    </w:p>
    <w:p>
      <w:pPr>
        <w:spacing w:after="80"/>
        <w:ind w:left="360" w:hanging="360"/>
      </w:pPr>
      <w:r>
        <w:rPr>
          <w:b/>
        </w:rPr>
        <w:t xml:space="preserve">[28] </w:t>
      </w:r>
      <w:r>
        <w:t xml:space="preserve">Abdulaziz Almalaq and Saleh Albadran and Mohamed Mohamed (2022). Deep Machine Learning Model-Based Cyber-Attacks Detection in Smart Power Systems. </w:t>
      </w:r>
      <w:r>
        <w:rPr>
          <w:i/>
        </w:rPr>
        <w:t xml:space="preserve">Mathematics. </w:t>
      </w:r>
      <w:r>
        <w:rPr>
          <w:color w:val="2563EB"/>
        </w:rPr>
        <w:t>https://doi.org/10.3390/math10152574</w:t>
      </w:r>
    </w:p>
    <w:p>
      <w:pPr>
        <w:spacing w:after="80"/>
        <w:ind w:left="360" w:hanging="360"/>
      </w:pPr>
      <w:r>
        <w:rPr>
          <w:b/>
        </w:rPr>
        <w:t xml:space="preserve">[29] </w:t>
      </w:r>
      <w:r>
        <w:t xml:space="preserve">Khalid Alnowibet and Andres Annuk and Anura Dampage and Mohamed A. Mohamed (2021). Effective Energy Management via False Data Detection Scheme for the Interconnected Smart Energy Hub--Microgrid System under Stochastic Framework. </w:t>
      </w:r>
      <w:r>
        <w:rPr>
          <w:i/>
        </w:rPr>
        <w:t xml:space="preserve">Sustainability. </w:t>
      </w:r>
      <w:r>
        <w:rPr>
          <w:color w:val="2563EB"/>
        </w:rPr>
        <w:t>https://doi.org/10.3390/su132111836</w:t>
      </w:r>
    </w:p>
    <w:p>
      <w:pPr>
        <w:spacing w:before="480" w:after="120"/>
      </w:pPr>
      <w:r>
        <w:rPr>
          <w:rFonts w:ascii="Times New Roman" w:hAnsi="Times New Roman"/>
          <w:b/>
          <w:color w:val="1E3A8A"/>
          <w:sz w:val="28"/>
        </w:rPr>
        <w:t>Appendix A: Abbreviations and Acronyms</w:t>
      </w:r>
    </w:p>
    <w:p>
      <w:pPr>
        <w:spacing w:after="200"/>
      </w:pPr>
      <w:r>
        <w:t>To facilitate quick reference, Table A1 compiles an alphabetical index of all abbreviations, acronyms, and their corresponding full technical expansions utilized throughout this manuscript.</w:t>
      </w:r>
    </w:p>
    <w:p>
      <w:pPr>
        <w:spacing w:after="80"/>
      </w:pPr>
      <w:r>
        <w:rPr>
          <w:b/>
        </w:rPr>
        <w:t xml:space="preserve">Table A1 </w:t>
      </w:r>
      <w:r>
        <w:t>Alphabetical reference of abbreviations and full forms utilized in the manuscript.</w:t>
      </w:r>
    </w:p>
    <w:tbl>
      <w:tblPr>
        <w:tblW w:type="auto" w:w="0"/>
        <w:jc w:val="center"/>
        <w:tblLook w:firstColumn="1" w:firstRow="1" w:lastColumn="0" w:lastRow="0" w:noHBand="0" w:noVBand="1" w:val="04A0"/>
        <w:tblBorders>
          <w:top w:val="single" w:sz="6" w:space="0" w:color="D1D5DB"/>
          <w:bottom w:val="single" w:sz="6" w:space="0" w:color="D1D5DB"/>
          <w:insideH w:val="single" w:sz="4" w:space="0" w:color="D1D5DB"/>
          <w:left w:val="none"/>
          <w:right w:val="none"/>
          <w:insideV w:val="none"/>
        </w:tblBorders>
      </w:tblPr>
      <w:tblGrid>
        <w:gridCol w:w="2340"/>
        <w:gridCol w:w="2340"/>
        <w:gridCol w:w="2340"/>
        <w:gridCol w:w="2340"/>
      </w:tblGrid>
      <w:tr>
        <w:tc>
          <w:tcPr>
            <w:tcW w:type="dxa" w:w="1584"/>
            <w:shd w:val="clear" w:color="auto" w:fill="F3F4F6"/>
            <w:tcMar>
              <w:top w:w="80" w:type="dxa"/>
              <w:bottom w:w="80" w:type="dxa"/>
              <w:left w:w="100" w:type="dxa"/>
              <w:right w:w="100" w:type="dxa"/>
            </w:tcMar>
          </w:tcPr>
          <w:p>
            <w:pPr>
              <w:jc w:val="left"/>
            </w:pPr>
            <w:r>
              <w:rPr>
                <w:b/>
                <w:sz w:val="17"/>
              </w:rPr>
              <w:t>Abbreviation</w:t>
            </w:r>
          </w:p>
        </w:tc>
        <w:tc>
          <w:tcPr>
            <w:tcW w:type="dxa" w:w="3096"/>
            <w:shd w:val="clear" w:color="auto" w:fill="F3F4F6"/>
            <w:tcMar>
              <w:top w:w="80" w:type="dxa"/>
              <w:bottom w:w="80" w:type="dxa"/>
              <w:left w:w="100" w:type="dxa"/>
              <w:right w:w="100" w:type="dxa"/>
            </w:tcMar>
          </w:tcPr>
          <w:p>
            <w:pPr>
              <w:jc w:val="left"/>
            </w:pPr>
            <w:r>
              <w:rPr>
                <w:b/>
                <w:sz w:val="17"/>
              </w:rPr>
              <w:t>Full Form</w:t>
            </w:r>
          </w:p>
        </w:tc>
        <w:tc>
          <w:tcPr>
            <w:tcW w:type="dxa" w:w="1584"/>
            <w:shd w:val="clear" w:color="auto" w:fill="F3F4F6"/>
            <w:tcMar>
              <w:top w:w="80" w:type="dxa"/>
              <w:bottom w:w="80" w:type="dxa"/>
              <w:left w:w="100" w:type="dxa"/>
              <w:right w:w="100" w:type="dxa"/>
            </w:tcMar>
          </w:tcPr>
          <w:p>
            <w:pPr>
              <w:jc w:val="left"/>
            </w:pPr>
            <w:r>
              <w:rPr>
                <w:b/>
                <w:sz w:val="17"/>
              </w:rPr>
              <w:t>Abbreviation</w:t>
            </w:r>
          </w:p>
        </w:tc>
        <w:tc>
          <w:tcPr>
            <w:tcW w:type="dxa" w:w="3096"/>
            <w:shd w:val="clear" w:color="auto" w:fill="F3F4F6"/>
            <w:tcMar>
              <w:top w:w="80" w:type="dxa"/>
              <w:bottom w:w="80" w:type="dxa"/>
              <w:left w:w="100" w:type="dxa"/>
              <w:right w:w="100" w:type="dxa"/>
            </w:tcMar>
          </w:tcPr>
          <w:p>
            <w:pPr>
              <w:jc w:val="left"/>
            </w:pPr>
            <w:r>
              <w:rPr>
                <w:b/>
                <w:sz w:val="17"/>
              </w:rPr>
              <w:t>Full Form</w:t>
            </w:r>
          </w:p>
        </w:tc>
      </w:tr>
      <w:tr>
        <w:tc>
          <w:tcPr>
            <w:tcW w:type="dxa" w:w="1584"/>
            <w:shd w:val="clear" w:color="auto" w:fill="FFFFFF"/>
            <w:tcMar>
              <w:top w:w="60" w:type="dxa"/>
              <w:bottom w:w="60" w:type="dxa"/>
              <w:left w:w="100" w:type="dxa"/>
              <w:right w:w="100" w:type="dxa"/>
            </w:tcMar>
          </w:tcPr>
          <w:p>
            <w:pPr>
              <w:jc w:val="left"/>
            </w:pPr>
            <w:r>
              <w:rPr>
                <w:b/>
                <w:sz w:val="16"/>
              </w:rPr>
              <w:t>1-WL</w:t>
            </w:r>
          </w:p>
        </w:tc>
        <w:tc>
          <w:tcPr>
            <w:tcW w:type="dxa" w:w="3096"/>
            <w:shd w:val="clear" w:color="auto" w:fill="FFFFFF"/>
            <w:tcMar>
              <w:top w:w="60" w:type="dxa"/>
              <w:bottom w:w="60" w:type="dxa"/>
              <w:left w:w="100" w:type="dxa"/>
              <w:right w:w="100" w:type="dxa"/>
            </w:tcMar>
          </w:tcPr>
          <w:p>
            <w:pPr>
              <w:jc w:val="left"/>
            </w:pPr>
            <w:r>
              <w:rPr>
                <w:sz w:val="16"/>
              </w:rPr>
              <w:t>1-Weisfeiler-Lehman Graph Isomorphism Test</w:t>
            </w:r>
          </w:p>
        </w:tc>
        <w:tc>
          <w:tcPr>
            <w:tcW w:type="dxa" w:w="1584"/>
            <w:shd w:val="clear" w:color="auto" w:fill="FFFFFF"/>
            <w:tcMar>
              <w:top w:w="60" w:type="dxa"/>
              <w:bottom w:w="60" w:type="dxa"/>
              <w:left w:w="100" w:type="dxa"/>
              <w:right w:w="100" w:type="dxa"/>
            </w:tcMar>
          </w:tcPr>
          <w:p>
            <w:pPr>
              <w:jc w:val="left"/>
            </w:pPr>
            <w:r>
              <w:rPr>
                <w:b/>
                <w:sz w:val="16"/>
              </w:rPr>
              <w:t>IC</w:t>
            </w:r>
          </w:p>
        </w:tc>
        <w:tc>
          <w:tcPr>
            <w:tcW w:type="dxa" w:w="3096"/>
            <w:shd w:val="clear" w:color="auto" w:fill="FFFFFF"/>
            <w:tcMar>
              <w:top w:w="60" w:type="dxa"/>
              <w:bottom w:w="60" w:type="dxa"/>
              <w:left w:w="100" w:type="dxa"/>
              <w:right w:w="100" w:type="dxa"/>
            </w:tcMar>
          </w:tcPr>
          <w:p>
            <w:pPr>
              <w:jc w:val="left"/>
            </w:pPr>
            <w:r>
              <w:rPr>
                <w:sz w:val="16"/>
              </w:rPr>
              <w:t>Inclusion Criteria</w:t>
            </w:r>
          </w:p>
        </w:tc>
      </w:tr>
      <w:tr>
        <w:tc>
          <w:tcPr>
            <w:tcW w:type="dxa" w:w="1584"/>
            <w:shd w:val="clear" w:color="auto" w:fill="F9FAFB"/>
            <w:tcMar>
              <w:top w:w="60" w:type="dxa"/>
              <w:bottom w:w="60" w:type="dxa"/>
              <w:left w:w="100" w:type="dxa"/>
              <w:right w:w="100" w:type="dxa"/>
            </w:tcMar>
          </w:tcPr>
          <w:p>
            <w:pPr>
              <w:jc w:val="left"/>
            </w:pPr>
            <w:r>
              <w:rPr>
                <w:b/>
                <w:sz w:val="16"/>
              </w:rPr>
              <w:t>ACFG</w:t>
            </w:r>
          </w:p>
        </w:tc>
        <w:tc>
          <w:tcPr>
            <w:tcW w:type="dxa" w:w="3096"/>
            <w:shd w:val="clear" w:color="auto" w:fill="F9FAFB"/>
            <w:tcMar>
              <w:top w:w="60" w:type="dxa"/>
              <w:bottom w:w="60" w:type="dxa"/>
              <w:left w:w="100" w:type="dxa"/>
              <w:right w:w="100" w:type="dxa"/>
            </w:tcMar>
          </w:tcPr>
          <w:p>
            <w:pPr>
              <w:jc w:val="left"/>
            </w:pPr>
            <w:r>
              <w:rPr>
                <w:sz w:val="16"/>
              </w:rPr>
              <w:t>Attributed Control Flow Graph</w:t>
            </w:r>
          </w:p>
        </w:tc>
        <w:tc>
          <w:tcPr>
            <w:tcW w:type="dxa" w:w="1584"/>
            <w:shd w:val="clear" w:color="auto" w:fill="F9FAFB"/>
            <w:tcMar>
              <w:top w:w="60" w:type="dxa"/>
              <w:bottom w:w="60" w:type="dxa"/>
              <w:left w:w="100" w:type="dxa"/>
              <w:right w:w="100" w:type="dxa"/>
            </w:tcMar>
          </w:tcPr>
          <w:p>
            <w:pPr>
              <w:jc w:val="left"/>
            </w:pPr>
            <w:r>
              <w:rPr>
                <w:b/>
                <w:sz w:val="16"/>
              </w:rPr>
              <w:t>IEEE</w:t>
            </w:r>
          </w:p>
        </w:tc>
        <w:tc>
          <w:tcPr>
            <w:tcW w:type="dxa" w:w="3096"/>
            <w:shd w:val="clear" w:color="auto" w:fill="F9FAFB"/>
            <w:tcMar>
              <w:top w:w="60" w:type="dxa"/>
              <w:bottom w:w="60" w:type="dxa"/>
              <w:left w:w="100" w:type="dxa"/>
              <w:right w:w="100" w:type="dxa"/>
            </w:tcMar>
          </w:tcPr>
          <w:p>
            <w:pPr>
              <w:jc w:val="left"/>
            </w:pPr>
            <w:r>
              <w:rPr>
                <w:sz w:val="16"/>
              </w:rPr>
              <w:t>Institute of Electrical and Electronics Engineers</w:t>
            </w:r>
          </w:p>
        </w:tc>
      </w:tr>
      <w:tr>
        <w:tc>
          <w:tcPr>
            <w:tcW w:type="dxa" w:w="1584"/>
            <w:shd w:val="clear" w:color="auto" w:fill="FFFFFF"/>
            <w:tcMar>
              <w:top w:w="60" w:type="dxa"/>
              <w:bottom w:w="60" w:type="dxa"/>
              <w:left w:w="100" w:type="dxa"/>
              <w:right w:w="100" w:type="dxa"/>
            </w:tcMar>
          </w:tcPr>
          <w:p>
            <w:pPr>
              <w:jc w:val="left"/>
            </w:pPr>
            <w:r>
              <w:rPr>
                <w:b/>
                <w:sz w:val="16"/>
              </w:rPr>
              <w:t>ACM</w:t>
            </w:r>
          </w:p>
        </w:tc>
        <w:tc>
          <w:tcPr>
            <w:tcW w:type="dxa" w:w="3096"/>
            <w:shd w:val="clear" w:color="auto" w:fill="FFFFFF"/>
            <w:tcMar>
              <w:top w:w="60" w:type="dxa"/>
              <w:bottom w:w="60" w:type="dxa"/>
              <w:left w:w="100" w:type="dxa"/>
              <w:right w:w="100" w:type="dxa"/>
            </w:tcMar>
          </w:tcPr>
          <w:p>
            <w:pPr>
              <w:jc w:val="left"/>
            </w:pPr>
            <w:r>
              <w:rPr>
                <w:sz w:val="16"/>
              </w:rPr>
              <w:t>Association for Computing Machinery</w:t>
            </w:r>
          </w:p>
        </w:tc>
        <w:tc>
          <w:tcPr>
            <w:tcW w:type="dxa" w:w="1584"/>
            <w:shd w:val="clear" w:color="auto" w:fill="FFFFFF"/>
            <w:tcMar>
              <w:top w:w="60" w:type="dxa"/>
              <w:bottom w:w="60" w:type="dxa"/>
              <w:left w:w="100" w:type="dxa"/>
              <w:right w:w="100" w:type="dxa"/>
            </w:tcMar>
          </w:tcPr>
          <w:p>
            <w:pPr>
              <w:jc w:val="left"/>
            </w:pPr>
            <w:r>
              <w:rPr>
                <w:b/>
                <w:sz w:val="16"/>
              </w:rPr>
              <w:t>InfoNCE</w:t>
            </w:r>
          </w:p>
        </w:tc>
        <w:tc>
          <w:tcPr>
            <w:tcW w:type="dxa" w:w="3096"/>
            <w:shd w:val="clear" w:color="auto" w:fill="FFFFFF"/>
            <w:tcMar>
              <w:top w:w="60" w:type="dxa"/>
              <w:bottom w:w="60" w:type="dxa"/>
              <w:left w:w="100" w:type="dxa"/>
              <w:right w:w="100" w:type="dxa"/>
            </w:tcMar>
          </w:tcPr>
          <w:p>
            <w:pPr>
              <w:jc w:val="left"/>
            </w:pPr>
            <w:r>
              <w:rPr>
                <w:sz w:val="16"/>
              </w:rPr>
              <w:t>Information Noise-Contrastive Estimation</w:t>
            </w:r>
          </w:p>
        </w:tc>
      </w:tr>
      <w:tr>
        <w:tc>
          <w:tcPr>
            <w:tcW w:type="dxa" w:w="1584"/>
            <w:shd w:val="clear" w:color="auto" w:fill="F9FAFB"/>
            <w:tcMar>
              <w:top w:w="60" w:type="dxa"/>
              <w:bottom w:w="60" w:type="dxa"/>
              <w:left w:w="100" w:type="dxa"/>
              <w:right w:w="100" w:type="dxa"/>
            </w:tcMar>
          </w:tcPr>
          <w:p>
            <w:pPr>
              <w:jc w:val="left"/>
            </w:pPr>
            <w:r>
              <w:rPr>
                <w:b/>
                <w:sz w:val="16"/>
              </w:rPr>
              <w:t>API</w:t>
            </w:r>
          </w:p>
        </w:tc>
        <w:tc>
          <w:tcPr>
            <w:tcW w:type="dxa" w:w="3096"/>
            <w:shd w:val="clear" w:color="auto" w:fill="F9FAFB"/>
            <w:tcMar>
              <w:top w:w="60" w:type="dxa"/>
              <w:bottom w:w="60" w:type="dxa"/>
              <w:left w:w="100" w:type="dxa"/>
              <w:right w:w="100" w:type="dxa"/>
            </w:tcMar>
          </w:tcPr>
          <w:p>
            <w:pPr>
              <w:jc w:val="left"/>
            </w:pPr>
            <w:r>
              <w:rPr>
                <w:sz w:val="16"/>
              </w:rPr>
              <w:t>Application Programming Interface</w:t>
            </w:r>
          </w:p>
        </w:tc>
        <w:tc>
          <w:tcPr>
            <w:tcW w:type="dxa" w:w="1584"/>
            <w:shd w:val="clear" w:color="auto" w:fill="F9FAFB"/>
            <w:tcMar>
              <w:top w:w="60" w:type="dxa"/>
              <w:bottom w:w="60" w:type="dxa"/>
              <w:left w:w="100" w:type="dxa"/>
              <w:right w:w="100" w:type="dxa"/>
            </w:tcMar>
          </w:tcPr>
          <w:p>
            <w:pPr>
              <w:jc w:val="left"/>
            </w:pPr>
            <w:r>
              <w:rPr>
                <w:b/>
                <w:sz w:val="16"/>
              </w:rPr>
              <w:t>IoT</w:t>
            </w:r>
          </w:p>
        </w:tc>
        <w:tc>
          <w:tcPr>
            <w:tcW w:type="dxa" w:w="3096"/>
            <w:shd w:val="clear" w:color="auto" w:fill="F9FAFB"/>
            <w:tcMar>
              <w:top w:w="60" w:type="dxa"/>
              <w:bottom w:w="60" w:type="dxa"/>
              <w:left w:w="100" w:type="dxa"/>
              <w:right w:w="100" w:type="dxa"/>
            </w:tcMar>
          </w:tcPr>
          <w:p>
            <w:pPr>
              <w:jc w:val="left"/>
            </w:pPr>
            <w:r>
              <w:rPr>
                <w:sz w:val="16"/>
              </w:rPr>
              <w:t>Internet of Things</w:t>
            </w:r>
          </w:p>
        </w:tc>
      </w:tr>
      <w:tr>
        <w:tc>
          <w:tcPr>
            <w:tcW w:type="dxa" w:w="1584"/>
            <w:shd w:val="clear" w:color="auto" w:fill="FFFFFF"/>
            <w:tcMar>
              <w:top w:w="60" w:type="dxa"/>
              <w:bottom w:w="60" w:type="dxa"/>
              <w:left w:w="100" w:type="dxa"/>
              <w:right w:w="100" w:type="dxa"/>
            </w:tcMar>
          </w:tcPr>
          <w:p>
            <w:pPr>
              <w:jc w:val="left"/>
            </w:pPr>
            <w:r>
              <w:rPr>
                <w:b/>
                <w:sz w:val="16"/>
              </w:rPr>
              <w:t>ARM</w:t>
            </w:r>
          </w:p>
        </w:tc>
        <w:tc>
          <w:tcPr>
            <w:tcW w:type="dxa" w:w="3096"/>
            <w:shd w:val="clear" w:color="auto" w:fill="FFFFFF"/>
            <w:tcMar>
              <w:top w:w="60" w:type="dxa"/>
              <w:bottom w:w="60" w:type="dxa"/>
              <w:left w:w="100" w:type="dxa"/>
              <w:right w:w="100" w:type="dxa"/>
            </w:tcMar>
          </w:tcPr>
          <w:p>
            <w:pPr>
              <w:jc w:val="left"/>
            </w:pPr>
            <w:r>
              <w:rPr>
                <w:sz w:val="16"/>
              </w:rPr>
              <w:t>Advanced RISC Machines Architecture</w:t>
            </w:r>
          </w:p>
        </w:tc>
        <w:tc>
          <w:tcPr>
            <w:tcW w:type="dxa" w:w="1584"/>
            <w:shd w:val="clear" w:color="auto" w:fill="FFFFFF"/>
            <w:tcMar>
              <w:top w:w="60" w:type="dxa"/>
              <w:bottom w:w="60" w:type="dxa"/>
              <w:left w:w="100" w:type="dxa"/>
              <w:right w:w="100" w:type="dxa"/>
            </w:tcMar>
          </w:tcPr>
          <w:p>
            <w:pPr>
              <w:jc w:val="left"/>
            </w:pPr>
            <w:r>
              <w:rPr>
                <w:b/>
                <w:sz w:val="16"/>
              </w:rPr>
              <w:t>LSTM</w:t>
            </w:r>
          </w:p>
        </w:tc>
        <w:tc>
          <w:tcPr>
            <w:tcW w:type="dxa" w:w="3096"/>
            <w:shd w:val="clear" w:color="auto" w:fill="FFFFFF"/>
            <w:tcMar>
              <w:top w:w="60" w:type="dxa"/>
              <w:bottom w:w="60" w:type="dxa"/>
              <w:left w:w="100" w:type="dxa"/>
              <w:right w:w="100" w:type="dxa"/>
            </w:tcMar>
          </w:tcPr>
          <w:p>
            <w:pPr>
              <w:jc w:val="left"/>
            </w:pPr>
            <w:r>
              <w:rPr>
                <w:sz w:val="16"/>
              </w:rPr>
              <w:t>Long Short-Term Memory</w:t>
            </w:r>
          </w:p>
        </w:tc>
      </w:tr>
      <w:tr>
        <w:tc>
          <w:tcPr>
            <w:tcW w:type="dxa" w:w="1584"/>
            <w:shd w:val="clear" w:color="auto" w:fill="F9FAFB"/>
            <w:tcMar>
              <w:top w:w="60" w:type="dxa"/>
              <w:bottom w:w="60" w:type="dxa"/>
              <w:left w:w="100" w:type="dxa"/>
              <w:right w:w="100" w:type="dxa"/>
            </w:tcMar>
          </w:tcPr>
          <w:p>
            <w:pPr>
              <w:jc w:val="left"/>
            </w:pPr>
            <w:r>
              <w:rPr>
                <w:b/>
                <w:sz w:val="16"/>
              </w:rPr>
              <w:t>AST</w:t>
            </w:r>
          </w:p>
        </w:tc>
        <w:tc>
          <w:tcPr>
            <w:tcW w:type="dxa" w:w="3096"/>
            <w:shd w:val="clear" w:color="auto" w:fill="F9FAFB"/>
            <w:tcMar>
              <w:top w:w="60" w:type="dxa"/>
              <w:bottom w:w="60" w:type="dxa"/>
              <w:left w:w="100" w:type="dxa"/>
              <w:right w:w="100" w:type="dxa"/>
            </w:tcMar>
          </w:tcPr>
          <w:p>
            <w:pPr>
              <w:jc w:val="left"/>
            </w:pPr>
            <w:r>
              <w:rPr>
                <w:sz w:val="16"/>
              </w:rPr>
              <w:t>Abstract Syntax Tree</w:t>
            </w:r>
          </w:p>
        </w:tc>
        <w:tc>
          <w:tcPr>
            <w:tcW w:type="dxa" w:w="1584"/>
            <w:shd w:val="clear" w:color="auto" w:fill="F9FAFB"/>
            <w:tcMar>
              <w:top w:w="60" w:type="dxa"/>
              <w:bottom w:w="60" w:type="dxa"/>
              <w:left w:w="100" w:type="dxa"/>
              <w:right w:w="100" w:type="dxa"/>
            </w:tcMar>
          </w:tcPr>
          <w:p>
            <w:pPr>
              <w:jc w:val="left"/>
            </w:pPr>
            <w:r>
              <w:rPr>
                <w:b/>
                <w:sz w:val="16"/>
              </w:rPr>
              <w:t>MIPS</w:t>
            </w:r>
          </w:p>
        </w:tc>
        <w:tc>
          <w:tcPr>
            <w:tcW w:type="dxa" w:w="3096"/>
            <w:shd w:val="clear" w:color="auto" w:fill="F9FAFB"/>
            <w:tcMar>
              <w:top w:w="60" w:type="dxa"/>
              <w:bottom w:w="60" w:type="dxa"/>
              <w:left w:w="100" w:type="dxa"/>
              <w:right w:w="100" w:type="dxa"/>
            </w:tcMar>
          </w:tcPr>
          <w:p>
            <w:pPr>
              <w:jc w:val="left"/>
            </w:pPr>
            <w:r>
              <w:rPr>
                <w:sz w:val="16"/>
              </w:rPr>
              <w:t>Microprocessor without Interlocked Pipeline Stages</w:t>
            </w:r>
          </w:p>
        </w:tc>
      </w:tr>
      <w:tr>
        <w:tc>
          <w:tcPr>
            <w:tcW w:type="dxa" w:w="1584"/>
            <w:shd w:val="clear" w:color="auto" w:fill="FFFFFF"/>
            <w:tcMar>
              <w:top w:w="60" w:type="dxa"/>
              <w:bottom w:w="60" w:type="dxa"/>
              <w:left w:w="100" w:type="dxa"/>
              <w:right w:w="100" w:type="dxa"/>
            </w:tcMar>
          </w:tcPr>
          <w:p>
            <w:pPr>
              <w:jc w:val="left"/>
            </w:pPr>
            <w:r>
              <w:rPr>
                <w:b/>
                <w:sz w:val="16"/>
              </w:rPr>
              <w:t>AUC</w:t>
            </w:r>
          </w:p>
        </w:tc>
        <w:tc>
          <w:tcPr>
            <w:tcW w:type="dxa" w:w="3096"/>
            <w:shd w:val="clear" w:color="auto" w:fill="FFFFFF"/>
            <w:tcMar>
              <w:top w:w="60" w:type="dxa"/>
              <w:bottom w:w="60" w:type="dxa"/>
              <w:left w:w="100" w:type="dxa"/>
              <w:right w:w="100" w:type="dxa"/>
            </w:tcMar>
          </w:tcPr>
          <w:p>
            <w:pPr>
              <w:jc w:val="left"/>
            </w:pPr>
            <w:r>
              <w:rPr>
                <w:sz w:val="16"/>
              </w:rPr>
              <w:t>Area Under the Curve</w:t>
            </w:r>
          </w:p>
        </w:tc>
        <w:tc>
          <w:tcPr>
            <w:tcW w:type="dxa" w:w="1584"/>
            <w:shd w:val="clear" w:color="auto" w:fill="FFFFFF"/>
            <w:tcMar>
              <w:top w:w="60" w:type="dxa"/>
              <w:bottom w:w="60" w:type="dxa"/>
              <w:left w:w="100" w:type="dxa"/>
              <w:right w:w="100" w:type="dxa"/>
            </w:tcMar>
          </w:tcPr>
          <w:p>
            <w:pPr>
              <w:jc w:val="left"/>
            </w:pPr>
            <w:r>
              <w:rPr>
                <w:b/>
                <w:sz w:val="16"/>
              </w:rPr>
              <w:t>MLP</w:t>
            </w:r>
          </w:p>
        </w:tc>
        <w:tc>
          <w:tcPr>
            <w:tcW w:type="dxa" w:w="3096"/>
            <w:shd w:val="clear" w:color="auto" w:fill="FFFFFF"/>
            <w:tcMar>
              <w:top w:w="60" w:type="dxa"/>
              <w:bottom w:w="60" w:type="dxa"/>
              <w:left w:w="100" w:type="dxa"/>
              <w:right w:w="100" w:type="dxa"/>
            </w:tcMar>
          </w:tcPr>
          <w:p>
            <w:pPr>
              <w:jc w:val="left"/>
            </w:pPr>
            <w:r>
              <w:rPr>
                <w:sz w:val="16"/>
              </w:rPr>
              <w:t>Multi-Layer Perceptron</w:t>
            </w:r>
          </w:p>
        </w:tc>
      </w:tr>
      <w:tr>
        <w:tc>
          <w:tcPr>
            <w:tcW w:type="dxa" w:w="1584"/>
            <w:shd w:val="clear" w:color="auto" w:fill="F9FAFB"/>
            <w:tcMar>
              <w:top w:w="60" w:type="dxa"/>
              <w:bottom w:w="60" w:type="dxa"/>
              <w:left w:w="100" w:type="dxa"/>
              <w:right w:w="100" w:type="dxa"/>
            </w:tcMar>
          </w:tcPr>
          <w:p>
            <w:pPr>
              <w:jc w:val="left"/>
            </w:pPr>
            <w:r>
              <w:rPr>
                <w:b/>
                <w:sz w:val="16"/>
              </w:rPr>
              <w:t>Bi-LSTM</w:t>
            </w:r>
          </w:p>
        </w:tc>
        <w:tc>
          <w:tcPr>
            <w:tcW w:type="dxa" w:w="3096"/>
            <w:shd w:val="clear" w:color="auto" w:fill="F9FAFB"/>
            <w:tcMar>
              <w:top w:w="60" w:type="dxa"/>
              <w:bottom w:w="60" w:type="dxa"/>
              <w:left w:w="100" w:type="dxa"/>
              <w:right w:w="100" w:type="dxa"/>
            </w:tcMar>
          </w:tcPr>
          <w:p>
            <w:pPr>
              <w:jc w:val="left"/>
            </w:pPr>
            <w:r>
              <w:rPr>
                <w:sz w:val="16"/>
              </w:rPr>
              <w:t>Bidirectional Long Short-Term Memory</w:t>
            </w:r>
          </w:p>
        </w:tc>
        <w:tc>
          <w:tcPr>
            <w:tcW w:type="dxa" w:w="1584"/>
            <w:shd w:val="clear" w:color="auto" w:fill="F9FAFB"/>
            <w:tcMar>
              <w:top w:w="60" w:type="dxa"/>
              <w:bottom w:w="60" w:type="dxa"/>
              <w:left w:w="100" w:type="dxa"/>
              <w:right w:w="100" w:type="dxa"/>
            </w:tcMar>
          </w:tcPr>
          <w:p>
            <w:pPr>
              <w:jc w:val="left"/>
            </w:pPr>
            <w:r>
              <w:rPr>
                <w:b/>
                <w:sz w:val="16"/>
              </w:rPr>
              <w:t>MMBSA</w:t>
            </w:r>
          </w:p>
        </w:tc>
        <w:tc>
          <w:tcPr>
            <w:tcW w:type="dxa" w:w="3096"/>
            <w:shd w:val="clear" w:color="auto" w:fill="F9FAFB"/>
            <w:tcMar>
              <w:top w:w="60" w:type="dxa"/>
              <w:bottom w:w="60" w:type="dxa"/>
              <w:left w:w="100" w:type="dxa"/>
              <w:right w:w="100" w:type="dxa"/>
            </w:tcMar>
          </w:tcPr>
          <w:p>
            <w:pPr>
              <w:jc w:val="left"/>
            </w:pPr>
            <w:r>
              <w:rPr>
                <w:sz w:val="16"/>
              </w:rPr>
              <w:t>Multi-Modal Binary Similarity Analysis</w:t>
            </w:r>
          </w:p>
        </w:tc>
      </w:tr>
      <w:tr>
        <w:tc>
          <w:tcPr>
            <w:tcW w:type="dxa" w:w="1584"/>
            <w:shd w:val="clear" w:color="auto" w:fill="FFFFFF"/>
            <w:tcMar>
              <w:top w:w="60" w:type="dxa"/>
              <w:bottom w:w="60" w:type="dxa"/>
              <w:left w:w="100" w:type="dxa"/>
              <w:right w:w="100" w:type="dxa"/>
            </w:tcMar>
          </w:tcPr>
          <w:p>
            <w:pPr>
              <w:jc w:val="left"/>
            </w:pPr>
            <w:r>
              <w:rPr>
                <w:b/>
                <w:sz w:val="16"/>
              </w:rPr>
              <w:t>CDF</w:t>
            </w:r>
          </w:p>
        </w:tc>
        <w:tc>
          <w:tcPr>
            <w:tcW w:type="dxa" w:w="3096"/>
            <w:shd w:val="clear" w:color="auto" w:fill="FFFFFF"/>
            <w:tcMar>
              <w:top w:w="60" w:type="dxa"/>
              <w:bottom w:w="60" w:type="dxa"/>
              <w:left w:w="100" w:type="dxa"/>
              <w:right w:w="100" w:type="dxa"/>
            </w:tcMar>
          </w:tcPr>
          <w:p>
            <w:pPr>
              <w:jc w:val="left"/>
            </w:pPr>
            <w:r>
              <w:rPr>
                <w:sz w:val="16"/>
              </w:rPr>
              <w:t>Cumulative Distribution Function</w:t>
            </w:r>
          </w:p>
        </w:tc>
        <w:tc>
          <w:tcPr>
            <w:tcW w:type="dxa" w:w="1584"/>
            <w:shd w:val="clear" w:color="auto" w:fill="FFFFFF"/>
            <w:tcMar>
              <w:top w:w="60" w:type="dxa"/>
              <w:bottom w:w="60" w:type="dxa"/>
              <w:left w:w="100" w:type="dxa"/>
              <w:right w:w="100" w:type="dxa"/>
            </w:tcMar>
          </w:tcPr>
          <w:p>
            <w:pPr>
              <w:jc w:val="left"/>
            </w:pPr>
            <w:r>
              <w:rPr>
                <w:b/>
                <w:sz w:val="16"/>
              </w:rPr>
              <w:t>OLLVM</w:t>
            </w:r>
          </w:p>
        </w:tc>
        <w:tc>
          <w:tcPr>
            <w:tcW w:type="dxa" w:w="3096"/>
            <w:shd w:val="clear" w:color="auto" w:fill="FFFFFF"/>
            <w:tcMar>
              <w:top w:w="60" w:type="dxa"/>
              <w:bottom w:w="60" w:type="dxa"/>
              <w:left w:w="100" w:type="dxa"/>
              <w:right w:w="100" w:type="dxa"/>
            </w:tcMar>
          </w:tcPr>
          <w:p>
            <w:pPr>
              <w:jc w:val="left"/>
            </w:pPr>
            <w:r>
              <w:rPr>
                <w:sz w:val="16"/>
              </w:rPr>
              <w:t>Obfuscator-LLVM</w:t>
            </w:r>
          </w:p>
        </w:tc>
      </w:tr>
      <w:tr>
        <w:tc>
          <w:tcPr>
            <w:tcW w:type="dxa" w:w="1584"/>
            <w:shd w:val="clear" w:color="auto" w:fill="F9FAFB"/>
            <w:tcMar>
              <w:top w:w="60" w:type="dxa"/>
              <w:bottom w:w="60" w:type="dxa"/>
              <w:left w:w="100" w:type="dxa"/>
              <w:right w:w="100" w:type="dxa"/>
            </w:tcMar>
          </w:tcPr>
          <w:p>
            <w:pPr>
              <w:jc w:val="left"/>
            </w:pPr>
            <w:r>
              <w:rPr>
                <w:b/>
                <w:sz w:val="16"/>
              </w:rPr>
              <w:t>CFF</w:t>
            </w:r>
          </w:p>
        </w:tc>
        <w:tc>
          <w:tcPr>
            <w:tcW w:type="dxa" w:w="3096"/>
            <w:shd w:val="clear" w:color="auto" w:fill="F9FAFB"/>
            <w:tcMar>
              <w:top w:w="60" w:type="dxa"/>
              <w:bottom w:w="60" w:type="dxa"/>
              <w:left w:w="100" w:type="dxa"/>
              <w:right w:w="100" w:type="dxa"/>
            </w:tcMar>
          </w:tcPr>
          <w:p>
            <w:pPr>
              <w:jc w:val="left"/>
            </w:pPr>
            <w:r>
              <w:rPr>
                <w:sz w:val="16"/>
              </w:rPr>
              <w:t>Control-Flow Flattening</w:t>
            </w:r>
          </w:p>
        </w:tc>
        <w:tc>
          <w:tcPr>
            <w:tcW w:type="dxa" w:w="1584"/>
            <w:shd w:val="clear" w:color="auto" w:fill="F9FAFB"/>
            <w:tcMar>
              <w:top w:w="60" w:type="dxa"/>
              <w:bottom w:w="60" w:type="dxa"/>
              <w:left w:w="100" w:type="dxa"/>
              <w:right w:w="100" w:type="dxa"/>
            </w:tcMar>
          </w:tcPr>
          <w:p>
            <w:pPr>
              <w:jc w:val="left"/>
            </w:pPr>
            <w:r>
              <w:rPr>
                <w:b/>
                <w:sz w:val="16"/>
              </w:rPr>
              <w:t>OS</w:t>
            </w:r>
          </w:p>
        </w:tc>
        <w:tc>
          <w:tcPr>
            <w:tcW w:type="dxa" w:w="3096"/>
            <w:shd w:val="clear" w:color="auto" w:fill="F9FAFB"/>
            <w:tcMar>
              <w:top w:w="60" w:type="dxa"/>
              <w:bottom w:w="60" w:type="dxa"/>
              <w:left w:w="100" w:type="dxa"/>
              <w:right w:w="100" w:type="dxa"/>
            </w:tcMar>
          </w:tcPr>
          <w:p>
            <w:pPr>
              <w:jc w:val="left"/>
            </w:pPr>
            <w:r>
              <w:rPr>
                <w:sz w:val="16"/>
              </w:rPr>
              <w:t>Operating System</w:t>
            </w:r>
          </w:p>
        </w:tc>
      </w:tr>
      <w:tr>
        <w:tc>
          <w:tcPr>
            <w:tcW w:type="dxa" w:w="1584"/>
            <w:shd w:val="clear" w:color="auto" w:fill="FFFFFF"/>
            <w:tcMar>
              <w:top w:w="60" w:type="dxa"/>
              <w:bottom w:w="60" w:type="dxa"/>
              <w:left w:w="100" w:type="dxa"/>
              <w:right w:w="100" w:type="dxa"/>
            </w:tcMar>
          </w:tcPr>
          <w:p>
            <w:pPr>
              <w:jc w:val="left"/>
            </w:pPr>
            <w:r>
              <w:rPr>
                <w:b/>
                <w:sz w:val="16"/>
              </w:rPr>
              <w:t>CFG</w:t>
            </w:r>
          </w:p>
        </w:tc>
        <w:tc>
          <w:tcPr>
            <w:tcW w:type="dxa" w:w="3096"/>
            <w:shd w:val="clear" w:color="auto" w:fill="FFFFFF"/>
            <w:tcMar>
              <w:top w:w="60" w:type="dxa"/>
              <w:bottom w:w="60" w:type="dxa"/>
              <w:left w:w="100" w:type="dxa"/>
              <w:right w:w="100" w:type="dxa"/>
            </w:tcMar>
          </w:tcPr>
          <w:p>
            <w:pPr>
              <w:jc w:val="left"/>
            </w:pPr>
            <w:r>
              <w:rPr>
                <w:sz w:val="16"/>
              </w:rPr>
              <w:t>Control Flow Graph</w:t>
            </w:r>
          </w:p>
        </w:tc>
        <w:tc>
          <w:tcPr>
            <w:tcW w:type="dxa" w:w="1584"/>
            <w:shd w:val="clear" w:color="auto" w:fill="FFFFFF"/>
            <w:tcMar>
              <w:top w:w="60" w:type="dxa"/>
              <w:bottom w:w="60" w:type="dxa"/>
              <w:left w:w="100" w:type="dxa"/>
              <w:right w:w="100" w:type="dxa"/>
            </w:tcMar>
          </w:tcPr>
          <w:p>
            <w:pPr>
              <w:jc w:val="left"/>
            </w:pPr>
            <w:r>
              <w:rPr>
                <w:b/>
                <w:sz w:val="16"/>
              </w:rPr>
              <w:t>PE</w:t>
            </w:r>
          </w:p>
        </w:tc>
        <w:tc>
          <w:tcPr>
            <w:tcW w:type="dxa" w:w="3096"/>
            <w:shd w:val="clear" w:color="auto" w:fill="FFFFFF"/>
            <w:tcMar>
              <w:top w:w="60" w:type="dxa"/>
              <w:bottom w:w="60" w:type="dxa"/>
              <w:left w:w="100" w:type="dxa"/>
              <w:right w:w="100" w:type="dxa"/>
            </w:tcMar>
          </w:tcPr>
          <w:p>
            <w:pPr>
              <w:jc w:val="left"/>
            </w:pPr>
            <w:r>
              <w:rPr>
                <w:sz w:val="16"/>
              </w:rPr>
              <w:t>Portable Executable</w:t>
            </w:r>
          </w:p>
        </w:tc>
      </w:tr>
      <w:tr>
        <w:tc>
          <w:tcPr>
            <w:tcW w:type="dxa" w:w="1584"/>
            <w:shd w:val="clear" w:color="auto" w:fill="F9FAFB"/>
            <w:tcMar>
              <w:top w:w="60" w:type="dxa"/>
              <w:bottom w:w="60" w:type="dxa"/>
              <w:left w:w="100" w:type="dxa"/>
              <w:right w:w="100" w:type="dxa"/>
            </w:tcMar>
          </w:tcPr>
          <w:p>
            <w:pPr>
              <w:jc w:val="left"/>
            </w:pPr>
            <w:r>
              <w:rPr>
                <w:b/>
                <w:sz w:val="16"/>
              </w:rPr>
              <w:t>CI</w:t>
            </w:r>
          </w:p>
        </w:tc>
        <w:tc>
          <w:tcPr>
            <w:tcW w:type="dxa" w:w="3096"/>
            <w:shd w:val="clear" w:color="auto" w:fill="F9FAFB"/>
            <w:tcMar>
              <w:top w:w="60" w:type="dxa"/>
              <w:bottom w:w="60" w:type="dxa"/>
              <w:left w:w="100" w:type="dxa"/>
              <w:right w:w="100" w:type="dxa"/>
            </w:tcMar>
          </w:tcPr>
          <w:p>
            <w:pPr>
              <w:jc w:val="left"/>
            </w:pPr>
            <w:r>
              <w:rPr>
                <w:sz w:val="16"/>
              </w:rPr>
              <w:t>Confidence Interval</w:t>
            </w:r>
          </w:p>
        </w:tc>
        <w:tc>
          <w:tcPr>
            <w:tcW w:type="dxa" w:w="1584"/>
            <w:shd w:val="clear" w:color="auto" w:fill="F9FAFB"/>
            <w:tcMar>
              <w:top w:w="60" w:type="dxa"/>
              <w:bottom w:w="60" w:type="dxa"/>
              <w:left w:w="100" w:type="dxa"/>
              <w:right w:w="100" w:type="dxa"/>
            </w:tcMar>
          </w:tcPr>
          <w:p>
            <w:pPr>
              <w:jc w:val="left"/>
            </w:pPr>
            <w:r>
              <w:rPr>
                <w:b/>
                <w:sz w:val="16"/>
              </w:rPr>
              <w:t>PGD</w:t>
            </w:r>
          </w:p>
        </w:tc>
        <w:tc>
          <w:tcPr>
            <w:tcW w:type="dxa" w:w="3096"/>
            <w:shd w:val="clear" w:color="auto" w:fill="F9FAFB"/>
            <w:tcMar>
              <w:top w:w="60" w:type="dxa"/>
              <w:bottom w:w="60" w:type="dxa"/>
              <w:left w:w="100" w:type="dxa"/>
              <w:right w:w="100" w:type="dxa"/>
            </w:tcMar>
          </w:tcPr>
          <w:p>
            <w:pPr>
              <w:jc w:val="left"/>
            </w:pPr>
            <w:r>
              <w:rPr>
                <w:sz w:val="16"/>
              </w:rPr>
              <w:t>Projected Gradient Descent</w:t>
            </w:r>
          </w:p>
        </w:tc>
      </w:tr>
      <w:tr>
        <w:tc>
          <w:tcPr>
            <w:tcW w:type="dxa" w:w="1584"/>
            <w:shd w:val="clear" w:color="auto" w:fill="FFFFFF"/>
            <w:tcMar>
              <w:top w:w="60" w:type="dxa"/>
              <w:bottom w:w="60" w:type="dxa"/>
              <w:left w:w="100" w:type="dxa"/>
              <w:right w:w="100" w:type="dxa"/>
            </w:tcMar>
          </w:tcPr>
          <w:p>
            <w:pPr>
              <w:jc w:val="left"/>
            </w:pPr>
            <w:r>
              <w:rPr>
                <w:b/>
                <w:sz w:val="16"/>
              </w:rPr>
              <w:t>CLI</w:t>
            </w:r>
          </w:p>
        </w:tc>
        <w:tc>
          <w:tcPr>
            <w:tcW w:type="dxa" w:w="3096"/>
            <w:shd w:val="clear" w:color="auto" w:fill="FFFFFF"/>
            <w:tcMar>
              <w:top w:w="60" w:type="dxa"/>
              <w:bottom w:w="60" w:type="dxa"/>
              <w:left w:w="100" w:type="dxa"/>
              <w:right w:w="100" w:type="dxa"/>
            </w:tcMar>
          </w:tcPr>
          <w:p>
            <w:pPr>
              <w:jc w:val="left"/>
            </w:pPr>
            <w:r>
              <w:rPr>
                <w:sz w:val="16"/>
              </w:rPr>
              <w:t>Command-Line Interface</w:t>
            </w:r>
          </w:p>
        </w:tc>
        <w:tc>
          <w:tcPr>
            <w:tcW w:type="dxa" w:w="1584"/>
            <w:shd w:val="clear" w:color="auto" w:fill="FFFFFF"/>
            <w:tcMar>
              <w:top w:w="60" w:type="dxa"/>
              <w:bottom w:w="60" w:type="dxa"/>
              <w:left w:w="100" w:type="dxa"/>
              <w:right w:w="100" w:type="dxa"/>
            </w:tcMar>
          </w:tcPr>
          <w:p>
            <w:pPr>
              <w:jc w:val="left"/>
            </w:pPr>
            <w:r>
              <w:rPr>
                <w:b/>
                <w:sz w:val="16"/>
              </w:rPr>
              <w:t>PMU</w:t>
            </w:r>
          </w:p>
        </w:tc>
        <w:tc>
          <w:tcPr>
            <w:tcW w:type="dxa" w:w="3096"/>
            <w:shd w:val="clear" w:color="auto" w:fill="FFFFFF"/>
            <w:tcMar>
              <w:top w:w="60" w:type="dxa"/>
              <w:bottom w:w="60" w:type="dxa"/>
              <w:left w:w="100" w:type="dxa"/>
              <w:right w:w="100" w:type="dxa"/>
            </w:tcMar>
          </w:tcPr>
          <w:p>
            <w:pPr>
              <w:jc w:val="left"/>
            </w:pPr>
            <w:r>
              <w:rPr>
                <w:sz w:val="16"/>
              </w:rPr>
              <w:t>Performance Monitoring Unit</w:t>
            </w:r>
          </w:p>
        </w:tc>
      </w:tr>
      <w:tr>
        <w:tc>
          <w:tcPr>
            <w:tcW w:type="dxa" w:w="1584"/>
            <w:shd w:val="clear" w:color="auto" w:fill="F9FAFB"/>
            <w:tcMar>
              <w:top w:w="60" w:type="dxa"/>
              <w:bottom w:w="60" w:type="dxa"/>
              <w:left w:w="100" w:type="dxa"/>
              <w:right w:w="100" w:type="dxa"/>
            </w:tcMar>
          </w:tcPr>
          <w:p>
            <w:pPr>
              <w:jc w:val="left"/>
            </w:pPr>
            <w:r>
              <w:rPr>
                <w:b/>
                <w:sz w:val="16"/>
              </w:rPr>
              <w:t>CNN</w:t>
            </w:r>
          </w:p>
        </w:tc>
        <w:tc>
          <w:tcPr>
            <w:tcW w:type="dxa" w:w="3096"/>
            <w:shd w:val="clear" w:color="auto" w:fill="F9FAFB"/>
            <w:tcMar>
              <w:top w:w="60" w:type="dxa"/>
              <w:bottom w:w="60" w:type="dxa"/>
              <w:left w:w="100" w:type="dxa"/>
              <w:right w:w="100" w:type="dxa"/>
            </w:tcMar>
          </w:tcPr>
          <w:p>
            <w:pPr>
              <w:jc w:val="left"/>
            </w:pPr>
            <w:r>
              <w:rPr>
                <w:sz w:val="16"/>
              </w:rPr>
              <w:t>Convolutional Neural Network</w:t>
            </w:r>
          </w:p>
        </w:tc>
        <w:tc>
          <w:tcPr>
            <w:tcW w:type="dxa" w:w="1584"/>
            <w:shd w:val="clear" w:color="auto" w:fill="F9FAFB"/>
            <w:tcMar>
              <w:top w:w="60" w:type="dxa"/>
              <w:bottom w:w="60" w:type="dxa"/>
              <w:left w:w="100" w:type="dxa"/>
              <w:right w:w="100" w:type="dxa"/>
            </w:tcMar>
          </w:tcPr>
          <w:p>
            <w:pPr>
              <w:jc w:val="left"/>
            </w:pPr>
            <w:r>
              <w:rPr>
                <w:b/>
                <w:sz w:val="16"/>
              </w:rPr>
              <w:t>PRISMA</w:t>
            </w:r>
          </w:p>
        </w:tc>
        <w:tc>
          <w:tcPr>
            <w:tcW w:type="dxa" w:w="3096"/>
            <w:shd w:val="clear" w:color="auto" w:fill="F9FAFB"/>
            <w:tcMar>
              <w:top w:w="60" w:type="dxa"/>
              <w:bottom w:w="60" w:type="dxa"/>
              <w:left w:w="100" w:type="dxa"/>
              <w:right w:w="100" w:type="dxa"/>
            </w:tcMar>
          </w:tcPr>
          <w:p>
            <w:pPr>
              <w:jc w:val="left"/>
            </w:pPr>
            <w:r>
              <w:rPr>
                <w:sz w:val="16"/>
              </w:rPr>
              <w:t>Preferred Reporting Items for Systematic Reviews and Meta-Analyses</w:t>
            </w:r>
          </w:p>
        </w:tc>
      </w:tr>
      <w:tr>
        <w:tc>
          <w:tcPr>
            <w:tcW w:type="dxa" w:w="1584"/>
            <w:shd w:val="clear" w:color="auto" w:fill="FFFFFF"/>
            <w:tcMar>
              <w:top w:w="60" w:type="dxa"/>
              <w:bottom w:w="60" w:type="dxa"/>
              <w:left w:w="100" w:type="dxa"/>
              <w:right w:w="100" w:type="dxa"/>
            </w:tcMar>
          </w:tcPr>
          <w:p>
            <w:pPr>
              <w:jc w:val="left"/>
            </w:pPr>
            <w:r>
              <w:rPr>
                <w:b/>
                <w:sz w:val="16"/>
              </w:rPr>
              <w:t>CPU</w:t>
            </w:r>
          </w:p>
        </w:tc>
        <w:tc>
          <w:tcPr>
            <w:tcW w:type="dxa" w:w="3096"/>
            <w:shd w:val="clear" w:color="auto" w:fill="FFFFFF"/>
            <w:tcMar>
              <w:top w:w="60" w:type="dxa"/>
              <w:bottom w:w="60" w:type="dxa"/>
              <w:left w:w="100" w:type="dxa"/>
              <w:right w:w="100" w:type="dxa"/>
            </w:tcMar>
          </w:tcPr>
          <w:p>
            <w:pPr>
              <w:jc w:val="left"/>
            </w:pPr>
            <w:r>
              <w:rPr>
                <w:sz w:val="16"/>
              </w:rPr>
              <w:t>Central Processing Unit</w:t>
            </w:r>
          </w:p>
        </w:tc>
        <w:tc>
          <w:tcPr>
            <w:tcW w:type="dxa" w:w="1584"/>
            <w:shd w:val="clear" w:color="auto" w:fill="FFFFFF"/>
            <w:tcMar>
              <w:top w:w="60" w:type="dxa"/>
              <w:bottom w:w="60" w:type="dxa"/>
              <w:left w:w="100" w:type="dxa"/>
              <w:right w:w="100" w:type="dxa"/>
            </w:tcMar>
          </w:tcPr>
          <w:p>
            <w:pPr>
              <w:jc w:val="left"/>
            </w:pPr>
            <w:r>
              <w:rPr>
                <w:b/>
                <w:sz w:val="16"/>
              </w:rPr>
              <w:t>PV-DM</w:t>
            </w:r>
          </w:p>
        </w:tc>
        <w:tc>
          <w:tcPr>
            <w:tcW w:type="dxa" w:w="3096"/>
            <w:shd w:val="clear" w:color="auto" w:fill="FFFFFF"/>
            <w:tcMar>
              <w:top w:w="60" w:type="dxa"/>
              <w:bottom w:w="60" w:type="dxa"/>
              <w:left w:w="100" w:type="dxa"/>
              <w:right w:w="100" w:type="dxa"/>
            </w:tcMar>
          </w:tcPr>
          <w:p>
            <w:pPr>
              <w:jc w:val="left"/>
            </w:pPr>
            <w:r>
              <w:rPr>
                <w:sz w:val="16"/>
              </w:rPr>
              <w:t>Paragraph Vector -- Distributed Memory</w:t>
            </w:r>
          </w:p>
        </w:tc>
      </w:tr>
      <w:tr>
        <w:tc>
          <w:tcPr>
            <w:tcW w:type="dxa" w:w="1584"/>
            <w:shd w:val="clear" w:color="auto" w:fill="F9FAFB"/>
            <w:tcMar>
              <w:top w:w="60" w:type="dxa"/>
              <w:bottom w:w="60" w:type="dxa"/>
              <w:left w:w="100" w:type="dxa"/>
              <w:right w:w="100" w:type="dxa"/>
            </w:tcMar>
          </w:tcPr>
          <w:p>
            <w:pPr>
              <w:jc w:val="left"/>
            </w:pPr>
            <w:r>
              <w:rPr>
                <w:b/>
                <w:sz w:val="16"/>
              </w:rPr>
              <w:t>DGCNN</w:t>
            </w:r>
          </w:p>
        </w:tc>
        <w:tc>
          <w:tcPr>
            <w:tcW w:type="dxa" w:w="3096"/>
            <w:shd w:val="clear" w:color="auto" w:fill="F9FAFB"/>
            <w:tcMar>
              <w:top w:w="60" w:type="dxa"/>
              <w:bottom w:w="60" w:type="dxa"/>
              <w:left w:w="100" w:type="dxa"/>
              <w:right w:w="100" w:type="dxa"/>
            </w:tcMar>
          </w:tcPr>
          <w:p>
            <w:pPr>
              <w:jc w:val="left"/>
            </w:pPr>
            <w:r>
              <w:rPr>
                <w:sz w:val="16"/>
              </w:rPr>
              <w:t>Deep Graph Convolutional Neural Network</w:t>
            </w:r>
          </w:p>
        </w:tc>
        <w:tc>
          <w:tcPr>
            <w:tcW w:type="dxa" w:w="1584"/>
            <w:shd w:val="clear" w:color="auto" w:fill="F9FAFB"/>
            <w:tcMar>
              <w:top w:w="60" w:type="dxa"/>
              <w:bottom w:w="60" w:type="dxa"/>
              <w:left w:w="100" w:type="dxa"/>
              <w:right w:w="100" w:type="dxa"/>
            </w:tcMar>
          </w:tcPr>
          <w:p>
            <w:pPr>
              <w:jc w:val="left"/>
            </w:pPr>
            <w:r>
              <w:rPr>
                <w:b/>
                <w:sz w:val="16"/>
              </w:rPr>
              <w:t>RAM</w:t>
            </w:r>
          </w:p>
        </w:tc>
        <w:tc>
          <w:tcPr>
            <w:tcW w:type="dxa" w:w="3096"/>
            <w:shd w:val="clear" w:color="auto" w:fill="F9FAFB"/>
            <w:tcMar>
              <w:top w:w="60" w:type="dxa"/>
              <w:bottom w:w="60" w:type="dxa"/>
              <w:left w:w="100" w:type="dxa"/>
              <w:right w:w="100" w:type="dxa"/>
            </w:tcMar>
          </w:tcPr>
          <w:p>
            <w:pPr>
              <w:jc w:val="left"/>
            </w:pPr>
            <w:r>
              <w:rPr>
                <w:sz w:val="16"/>
              </w:rPr>
              <w:t>Random Access Memory</w:t>
            </w:r>
          </w:p>
        </w:tc>
      </w:tr>
      <w:tr>
        <w:tc>
          <w:tcPr>
            <w:tcW w:type="dxa" w:w="1584"/>
            <w:shd w:val="clear" w:color="auto" w:fill="FFFFFF"/>
            <w:tcMar>
              <w:top w:w="60" w:type="dxa"/>
              <w:bottom w:w="60" w:type="dxa"/>
              <w:left w:w="100" w:type="dxa"/>
              <w:right w:w="100" w:type="dxa"/>
            </w:tcMar>
          </w:tcPr>
          <w:p>
            <w:pPr>
              <w:jc w:val="left"/>
            </w:pPr>
            <w:r>
              <w:rPr>
                <w:b/>
                <w:sz w:val="16"/>
              </w:rPr>
              <w:t>DNN</w:t>
            </w:r>
          </w:p>
        </w:tc>
        <w:tc>
          <w:tcPr>
            <w:tcW w:type="dxa" w:w="3096"/>
            <w:shd w:val="clear" w:color="auto" w:fill="FFFFFF"/>
            <w:tcMar>
              <w:top w:w="60" w:type="dxa"/>
              <w:bottom w:w="60" w:type="dxa"/>
              <w:left w:w="100" w:type="dxa"/>
              <w:right w:w="100" w:type="dxa"/>
            </w:tcMar>
          </w:tcPr>
          <w:p>
            <w:pPr>
              <w:jc w:val="left"/>
            </w:pPr>
            <w:r>
              <w:rPr>
                <w:sz w:val="16"/>
              </w:rPr>
              <w:t>Deep Neural Network</w:t>
            </w:r>
          </w:p>
        </w:tc>
        <w:tc>
          <w:tcPr>
            <w:tcW w:type="dxa" w:w="1584"/>
            <w:shd w:val="clear" w:color="auto" w:fill="FFFFFF"/>
            <w:tcMar>
              <w:top w:w="60" w:type="dxa"/>
              <w:bottom w:w="60" w:type="dxa"/>
              <w:left w:w="100" w:type="dxa"/>
              <w:right w:w="100" w:type="dxa"/>
            </w:tcMar>
          </w:tcPr>
          <w:p>
            <w:pPr>
              <w:jc w:val="left"/>
            </w:pPr>
            <w:r>
              <w:rPr>
                <w:b/>
                <w:sz w:val="16"/>
              </w:rPr>
              <w:t>RDTSC</w:t>
            </w:r>
          </w:p>
        </w:tc>
        <w:tc>
          <w:tcPr>
            <w:tcW w:type="dxa" w:w="3096"/>
            <w:shd w:val="clear" w:color="auto" w:fill="FFFFFF"/>
            <w:tcMar>
              <w:top w:w="60" w:type="dxa"/>
              <w:bottom w:w="60" w:type="dxa"/>
              <w:left w:w="100" w:type="dxa"/>
              <w:right w:w="100" w:type="dxa"/>
            </w:tcMar>
          </w:tcPr>
          <w:p>
            <w:pPr>
              <w:jc w:val="left"/>
            </w:pPr>
            <w:r>
              <w:rPr>
                <w:sz w:val="16"/>
              </w:rPr>
              <w:t>Read Time-Stamp Counter</w:t>
            </w:r>
          </w:p>
        </w:tc>
      </w:tr>
      <w:tr>
        <w:tc>
          <w:tcPr>
            <w:tcW w:type="dxa" w:w="1584"/>
            <w:shd w:val="clear" w:color="auto" w:fill="F9FAFB"/>
            <w:tcMar>
              <w:top w:w="60" w:type="dxa"/>
              <w:bottom w:w="60" w:type="dxa"/>
              <w:left w:w="100" w:type="dxa"/>
              <w:right w:w="100" w:type="dxa"/>
            </w:tcMar>
          </w:tcPr>
          <w:p>
            <w:pPr>
              <w:jc w:val="left"/>
            </w:pPr>
            <w:r>
              <w:rPr>
                <w:b/>
                <w:sz w:val="16"/>
              </w:rPr>
              <w:t>DQA</w:t>
            </w:r>
          </w:p>
        </w:tc>
        <w:tc>
          <w:tcPr>
            <w:tcW w:type="dxa" w:w="3096"/>
            <w:shd w:val="clear" w:color="auto" w:fill="F9FAFB"/>
            <w:tcMar>
              <w:top w:w="60" w:type="dxa"/>
              <w:bottom w:w="60" w:type="dxa"/>
              <w:left w:w="100" w:type="dxa"/>
              <w:right w:w="100" w:type="dxa"/>
            </w:tcMar>
          </w:tcPr>
          <w:p>
            <w:pPr>
              <w:jc w:val="left"/>
            </w:pPr>
            <w:r>
              <w:rPr>
                <w:sz w:val="16"/>
              </w:rPr>
              <w:t>Domain Quality Assessment Criteria</w:t>
            </w:r>
          </w:p>
        </w:tc>
        <w:tc>
          <w:tcPr>
            <w:tcW w:type="dxa" w:w="1584"/>
            <w:shd w:val="clear" w:color="auto" w:fill="F9FAFB"/>
            <w:tcMar>
              <w:top w:w="60" w:type="dxa"/>
              <w:bottom w:w="60" w:type="dxa"/>
              <w:left w:w="100" w:type="dxa"/>
              <w:right w:w="100" w:type="dxa"/>
            </w:tcMar>
          </w:tcPr>
          <w:p>
            <w:pPr>
              <w:jc w:val="left"/>
            </w:pPr>
            <w:r>
              <w:rPr>
                <w:b/>
                <w:sz w:val="16"/>
              </w:rPr>
              <w:t>ReLU</w:t>
            </w:r>
          </w:p>
        </w:tc>
        <w:tc>
          <w:tcPr>
            <w:tcW w:type="dxa" w:w="3096"/>
            <w:shd w:val="clear" w:color="auto" w:fill="F9FAFB"/>
            <w:tcMar>
              <w:top w:w="60" w:type="dxa"/>
              <w:bottom w:w="60" w:type="dxa"/>
              <w:left w:w="100" w:type="dxa"/>
              <w:right w:w="100" w:type="dxa"/>
            </w:tcMar>
          </w:tcPr>
          <w:p>
            <w:pPr>
              <w:jc w:val="left"/>
            </w:pPr>
            <w:r>
              <w:rPr>
                <w:sz w:val="16"/>
              </w:rPr>
              <w:t>Rectified Linear Unit</w:t>
            </w:r>
          </w:p>
        </w:tc>
      </w:tr>
      <w:tr>
        <w:tc>
          <w:tcPr>
            <w:tcW w:type="dxa" w:w="1584"/>
            <w:shd w:val="clear" w:color="auto" w:fill="FFFFFF"/>
            <w:tcMar>
              <w:top w:w="60" w:type="dxa"/>
              <w:bottom w:w="60" w:type="dxa"/>
              <w:left w:w="100" w:type="dxa"/>
              <w:right w:w="100" w:type="dxa"/>
            </w:tcMar>
          </w:tcPr>
          <w:p>
            <w:pPr>
              <w:jc w:val="left"/>
            </w:pPr>
            <w:r>
              <w:rPr>
                <w:b/>
                <w:sz w:val="16"/>
              </w:rPr>
              <w:t>EC</w:t>
            </w:r>
          </w:p>
        </w:tc>
        <w:tc>
          <w:tcPr>
            <w:tcW w:type="dxa" w:w="3096"/>
            <w:shd w:val="clear" w:color="auto" w:fill="FFFFFF"/>
            <w:tcMar>
              <w:top w:w="60" w:type="dxa"/>
              <w:bottom w:w="60" w:type="dxa"/>
              <w:left w:w="100" w:type="dxa"/>
              <w:right w:w="100" w:type="dxa"/>
            </w:tcMar>
          </w:tcPr>
          <w:p>
            <w:pPr>
              <w:jc w:val="left"/>
            </w:pPr>
            <w:r>
              <w:rPr>
                <w:sz w:val="16"/>
              </w:rPr>
              <w:t>Exclusion Criteria</w:t>
            </w:r>
          </w:p>
        </w:tc>
        <w:tc>
          <w:tcPr>
            <w:tcW w:type="dxa" w:w="1584"/>
            <w:shd w:val="clear" w:color="auto" w:fill="FFFFFF"/>
            <w:tcMar>
              <w:top w:w="60" w:type="dxa"/>
              <w:bottom w:w="60" w:type="dxa"/>
              <w:left w:w="100" w:type="dxa"/>
              <w:right w:w="100" w:type="dxa"/>
            </w:tcMar>
          </w:tcPr>
          <w:p>
            <w:pPr>
              <w:jc w:val="left"/>
            </w:pPr>
            <w:r>
              <w:rPr>
                <w:b/>
                <w:sz w:val="16"/>
              </w:rPr>
              <w:t>ROC-AUC</w:t>
            </w:r>
          </w:p>
        </w:tc>
        <w:tc>
          <w:tcPr>
            <w:tcW w:type="dxa" w:w="3096"/>
            <w:shd w:val="clear" w:color="auto" w:fill="FFFFFF"/>
            <w:tcMar>
              <w:top w:w="60" w:type="dxa"/>
              <w:bottom w:w="60" w:type="dxa"/>
              <w:left w:w="100" w:type="dxa"/>
              <w:right w:w="100" w:type="dxa"/>
            </w:tcMar>
          </w:tcPr>
          <w:p>
            <w:pPr>
              <w:jc w:val="left"/>
            </w:pPr>
            <w:r>
              <w:rPr>
                <w:sz w:val="16"/>
              </w:rPr>
              <w:t>Receiver Operating Characteristic -- Area Under the Curve</w:t>
            </w:r>
          </w:p>
        </w:tc>
      </w:tr>
      <w:tr>
        <w:tc>
          <w:tcPr>
            <w:tcW w:type="dxa" w:w="1584"/>
            <w:shd w:val="clear" w:color="auto" w:fill="F9FAFB"/>
            <w:tcMar>
              <w:top w:w="60" w:type="dxa"/>
              <w:bottom w:w="60" w:type="dxa"/>
              <w:left w:w="100" w:type="dxa"/>
              <w:right w:w="100" w:type="dxa"/>
            </w:tcMar>
          </w:tcPr>
          <w:p>
            <w:pPr>
              <w:jc w:val="left"/>
            </w:pPr>
            <w:r>
              <w:rPr>
                <w:b/>
                <w:sz w:val="16"/>
              </w:rPr>
              <w:t>FGSM</w:t>
            </w:r>
          </w:p>
        </w:tc>
        <w:tc>
          <w:tcPr>
            <w:tcW w:type="dxa" w:w="3096"/>
            <w:shd w:val="clear" w:color="auto" w:fill="F9FAFB"/>
            <w:tcMar>
              <w:top w:w="60" w:type="dxa"/>
              <w:bottom w:w="60" w:type="dxa"/>
              <w:left w:w="100" w:type="dxa"/>
              <w:right w:w="100" w:type="dxa"/>
            </w:tcMar>
          </w:tcPr>
          <w:p>
            <w:pPr>
              <w:jc w:val="left"/>
            </w:pPr>
            <w:r>
              <w:rPr>
                <w:sz w:val="16"/>
              </w:rPr>
              <w:t>Fast Gradient Sign Method</w:t>
            </w:r>
          </w:p>
        </w:tc>
        <w:tc>
          <w:tcPr>
            <w:tcW w:type="dxa" w:w="1584"/>
            <w:shd w:val="clear" w:color="auto" w:fill="F9FAFB"/>
            <w:tcMar>
              <w:top w:w="60" w:type="dxa"/>
              <w:bottom w:w="60" w:type="dxa"/>
              <w:left w:w="100" w:type="dxa"/>
              <w:right w:w="100" w:type="dxa"/>
            </w:tcMar>
          </w:tcPr>
          <w:p>
            <w:pPr>
              <w:jc w:val="left"/>
            </w:pPr>
            <w:r>
              <w:rPr>
                <w:b/>
                <w:sz w:val="16"/>
              </w:rPr>
              <w:t>ROP</w:t>
            </w:r>
          </w:p>
        </w:tc>
        <w:tc>
          <w:tcPr>
            <w:tcW w:type="dxa" w:w="3096"/>
            <w:shd w:val="clear" w:color="auto" w:fill="F9FAFB"/>
            <w:tcMar>
              <w:top w:w="60" w:type="dxa"/>
              <w:bottom w:w="60" w:type="dxa"/>
              <w:left w:w="100" w:type="dxa"/>
              <w:right w:w="100" w:type="dxa"/>
            </w:tcMar>
          </w:tcPr>
          <w:p>
            <w:pPr>
              <w:jc w:val="left"/>
            </w:pPr>
            <w:r>
              <w:rPr>
                <w:sz w:val="16"/>
              </w:rPr>
              <w:t>Return-Oriented Programming</w:t>
            </w:r>
          </w:p>
        </w:tc>
      </w:tr>
      <w:tr>
        <w:tc>
          <w:tcPr>
            <w:tcW w:type="dxa" w:w="1584"/>
            <w:shd w:val="clear" w:color="auto" w:fill="FFFFFF"/>
            <w:tcMar>
              <w:top w:w="60" w:type="dxa"/>
              <w:bottom w:w="60" w:type="dxa"/>
              <w:left w:w="100" w:type="dxa"/>
              <w:right w:w="100" w:type="dxa"/>
            </w:tcMar>
          </w:tcPr>
          <w:p>
            <w:pPr>
              <w:jc w:val="left"/>
            </w:pPr>
            <w:r>
              <w:rPr>
                <w:b/>
                <w:sz w:val="16"/>
              </w:rPr>
              <w:t>FN</w:t>
            </w:r>
          </w:p>
        </w:tc>
        <w:tc>
          <w:tcPr>
            <w:tcW w:type="dxa" w:w="3096"/>
            <w:shd w:val="clear" w:color="auto" w:fill="FFFFFF"/>
            <w:tcMar>
              <w:top w:w="60" w:type="dxa"/>
              <w:bottom w:w="60" w:type="dxa"/>
              <w:left w:w="100" w:type="dxa"/>
              <w:right w:w="100" w:type="dxa"/>
            </w:tcMar>
          </w:tcPr>
          <w:p>
            <w:pPr>
              <w:jc w:val="left"/>
            </w:pPr>
            <w:r>
              <w:rPr>
                <w:sz w:val="16"/>
              </w:rPr>
              <w:t>False Negative</w:t>
            </w:r>
          </w:p>
        </w:tc>
        <w:tc>
          <w:tcPr>
            <w:tcW w:type="dxa" w:w="1584"/>
            <w:shd w:val="clear" w:color="auto" w:fill="FFFFFF"/>
            <w:tcMar>
              <w:top w:w="60" w:type="dxa"/>
              <w:bottom w:w="60" w:type="dxa"/>
              <w:left w:w="100" w:type="dxa"/>
              <w:right w:w="100" w:type="dxa"/>
            </w:tcMar>
          </w:tcPr>
          <w:p>
            <w:pPr>
              <w:jc w:val="left"/>
            </w:pPr>
            <w:r>
              <w:rPr>
                <w:b/>
                <w:sz w:val="16"/>
              </w:rPr>
              <w:t>SHA-256</w:t>
            </w:r>
          </w:p>
        </w:tc>
        <w:tc>
          <w:tcPr>
            <w:tcW w:type="dxa" w:w="3096"/>
            <w:shd w:val="clear" w:color="auto" w:fill="FFFFFF"/>
            <w:tcMar>
              <w:top w:w="60" w:type="dxa"/>
              <w:bottom w:w="60" w:type="dxa"/>
              <w:left w:w="100" w:type="dxa"/>
              <w:right w:w="100" w:type="dxa"/>
            </w:tcMar>
          </w:tcPr>
          <w:p>
            <w:pPr>
              <w:jc w:val="left"/>
            </w:pPr>
            <w:r>
              <w:rPr>
                <w:sz w:val="16"/>
              </w:rPr>
              <w:t>Secure Hash Algorithm 256-bit</w:t>
            </w:r>
          </w:p>
        </w:tc>
      </w:tr>
      <w:tr>
        <w:tc>
          <w:tcPr>
            <w:tcW w:type="dxa" w:w="1584"/>
            <w:shd w:val="clear" w:color="auto" w:fill="F9FAFB"/>
            <w:tcMar>
              <w:top w:w="60" w:type="dxa"/>
              <w:bottom w:w="60" w:type="dxa"/>
              <w:left w:w="100" w:type="dxa"/>
              <w:right w:w="100" w:type="dxa"/>
            </w:tcMar>
          </w:tcPr>
          <w:p>
            <w:pPr>
              <w:jc w:val="left"/>
            </w:pPr>
            <w:r>
              <w:rPr>
                <w:b/>
                <w:sz w:val="16"/>
              </w:rPr>
              <w:t>FNR</w:t>
            </w:r>
          </w:p>
        </w:tc>
        <w:tc>
          <w:tcPr>
            <w:tcW w:type="dxa" w:w="3096"/>
            <w:shd w:val="clear" w:color="auto" w:fill="F9FAFB"/>
            <w:tcMar>
              <w:top w:w="60" w:type="dxa"/>
              <w:bottom w:w="60" w:type="dxa"/>
              <w:left w:w="100" w:type="dxa"/>
              <w:right w:w="100" w:type="dxa"/>
            </w:tcMar>
          </w:tcPr>
          <w:p>
            <w:pPr>
              <w:jc w:val="left"/>
            </w:pPr>
            <w:r>
              <w:rPr>
                <w:sz w:val="16"/>
              </w:rPr>
              <w:t>False Negative Rate</w:t>
            </w:r>
          </w:p>
        </w:tc>
        <w:tc>
          <w:tcPr>
            <w:tcW w:type="dxa" w:w="1584"/>
            <w:shd w:val="clear" w:color="auto" w:fill="F9FAFB"/>
            <w:tcMar>
              <w:top w:w="60" w:type="dxa"/>
              <w:bottom w:w="60" w:type="dxa"/>
              <w:left w:w="100" w:type="dxa"/>
              <w:right w:w="100" w:type="dxa"/>
            </w:tcMar>
          </w:tcPr>
          <w:p>
            <w:pPr>
              <w:jc w:val="left"/>
            </w:pPr>
            <w:r>
              <w:rPr>
                <w:b/>
                <w:sz w:val="16"/>
              </w:rPr>
              <w:t>SOC</w:t>
            </w:r>
          </w:p>
        </w:tc>
        <w:tc>
          <w:tcPr>
            <w:tcW w:type="dxa" w:w="3096"/>
            <w:shd w:val="clear" w:color="auto" w:fill="F9FAFB"/>
            <w:tcMar>
              <w:top w:w="60" w:type="dxa"/>
              <w:bottom w:w="60" w:type="dxa"/>
              <w:left w:w="100" w:type="dxa"/>
              <w:right w:w="100" w:type="dxa"/>
            </w:tcMar>
          </w:tcPr>
          <w:p>
            <w:pPr>
              <w:jc w:val="left"/>
            </w:pPr>
            <w:r>
              <w:rPr>
                <w:sz w:val="16"/>
              </w:rPr>
              <w:t>Security Operations Center</w:t>
            </w:r>
          </w:p>
        </w:tc>
      </w:tr>
      <w:tr>
        <w:tc>
          <w:tcPr>
            <w:tcW w:type="dxa" w:w="1584"/>
            <w:shd w:val="clear" w:color="auto" w:fill="FFFFFF"/>
            <w:tcMar>
              <w:top w:w="60" w:type="dxa"/>
              <w:bottom w:w="60" w:type="dxa"/>
              <w:left w:w="100" w:type="dxa"/>
              <w:right w:w="100" w:type="dxa"/>
            </w:tcMar>
          </w:tcPr>
          <w:p>
            <w:pPr>
              <w:jc w:val="left"/>
            </w:pPr>
            <w:r>
              <w:rPr>
                <w:b/>
                <w:sz w:val="16"/>
              </w:rPr>
              <w:t>FP</w:t>
            </w:r>
          </w:p>
        </w:tc>
        <w:tc>
          <w:tcPr>
            <w:tcW w:type="dxa" w:w="3096"/>
            <w:shd w:val="clear" w:color="auto" w:fill="FFFFFF"/>
            <w:tcMar>
              <w:top w:w="60" w:type="dxa"/>
              <w:bottom w:w="60" w:type="dxa"/>
              <w:left w:w="100" w:type="dxa"/>
              <w:right w:w="100" w:type="dxa"/>
            </w:tcMar>
          </w:tcPr>
          <w:p>
            <w:pPr>
              <w:jc w:val="left"/>
            </w:pPr>
            <w:r>
              <w:rPr>
                <w:sz w:val="16"/>
              </w:rPr>
              <w:t>False Positive</w:t>
            </w:r>
          </w:p>
        </w:tc>
        <w:tc>
          <w:tcPr>
            <w:tcW w:type="dxa" w:w="1584"/>
            <w:shd w:val="clear" w:color="auto" w:fill="FFFFFF"/>
            <w:tcMar>
              <w:top w:w="60" w:type="dxa"/>
              <w:bottom w:w="60" w:type="dxa"/>
              <w:left w:w="100" w:type="dxa"/>
              <w:right w:w="100" w:type="dxa"/>
            </w:tcMar>
          </w:tcPr>
          <w:p>
            <w:pPr>
              <w:jc w:val="left"/>
            </w:pPr>
            <w:r>
              <w:rPr>
                <w:b/>
                <w:sz w:val="16"/>
              </w:rPr>
              <w:t>SVM</w:t>
            </w:r>
          </w:p>
        </w:tc>
        <w:tc>
          <w:tcPr>
            <w:tcW w:type="dxa" w:w="3096"/>
            <w:shd w:val="clear" w:color="auto" w:fill="FFFFFF"/>
            <w:tcMar>
              <w:top w:w="60" w:type="dxa"/>
              <w:bottom w:w="60" w:type="dxa"/>
              <w:left w:w="100" w:type="dxa"/>
              <w:right w:w="100" w:type="dxa"/>
            </w:tcMar>
          </w:tcPr>
          <w:p>
            <w:pPr>
              <w:jc w:val="left"/>
            </w:pPr>
            <w:r>
              <w:rPr>
                <w:sz w:val="16"/>
              </w:rPr>
              <w:t>Support Vector Machine</w:t>
            </w:r>
          </w:p>
        </w:tc>
      </w:tr>
      <w:tr>
        <w:tc>
          <w:tcPr>
            <w:tcW w:type="dxa" w:w="1584"/>
            <w:shd w:val="clear" w:color="auto" w:fill="F9FAFB"/>
            <w:tcMar>
              <w:top w:w="60" w:type="dxa"/>
              <w:bottom w:w="60" w:type="dxa"/>
              <w:left w:w="100" w:type="dxa"/>
              <w:right w:w="100" w:type="dxa"/>
            </w:tcMar>
          </w:tcPr>
          <w:p>
            <w:pPr>
              <w:jc w:val="left"/>
            </w:pPr>
            <w:r>
              <w:rPr>
                <w:b/>
                <w:sz w:val="16"/>
              </w:rPr>
              <w:t>FPR</w:t>
            </w:r>
          </w:p>
        </w:tc>
        <w:tc>
          <w:tcPr>
            <w:tcW w:type="dxa" w:w="3096"/>
            <w:shd w:val="clear" w:color="auto" w:fill="F9FAFB"/>
            <w:tcMar>
              <w:top w:w="60" w:type="dxa"/>
              <w:bottom w:w="60" w:type="dxa"/>
              <w:left w:w="100" w:type="dxa"/>
              <w:right w:w="100" w:type="dxa"/>
            </w:tcMar>
          </w:tcPr>
          <w:p>
            <w:pPr>
              <w:jc w:val="left"/>
            </w:pPr>
            <w:r>
              <w:rPr>
                <w:sz w:val="16"/>
              </w:rPr>
              <w:t>False Positive Rate</w:t>
            </w:r>
          </w:p>
        </w:tc>
        <w:tc>
          <w:tcPr>
            <w:tcW w:type="dxa" w:w="1584"/>
            <w:shd w:val="clear" w:color="auto" w:fill="F9FAFB"/>
            <w:tcMar>
              <w:top w:w="60" w:type="dxa"/>
              <w:bottom w:w="60" w:type="dxa"/>
              <w:left w:w="100" w:type="dxa"/>
              <w:right w:w="100" w:type="dxa"/>
            </w:tcMar>
          </w:tcPr>
          <w:p>
            <w:pPr>
              <w:jc w:val="left"/>
            </w:pPr>
            <w:r>
              <w:rPr>
                <w:b/>
                <w:sz w:val="16"/>
              </w:rPr>
              <w:t>TF-IDF</w:t>
            </w:r>
          </w:p>
        </w:tc>
        <w:tc>
          <w:tcPr>
            <w:tcW w:type="dxa" w:w="3096"/>
            <w:shd w:val="clear" w:color="auto" w:fill="F9FAFB"/>
            <w:tcMar>
              <w:top w:w="60" w:type="dxa"/>
              <w:bottom w:w="60" w:type="dxa"/>
              <w:left w:w="100" w:type="dxa"/>
              <w:right w:w="100" w:type="dxa"/>
            </w:tcMar>
          </w:tcPr>
          <w:p>
            <w:pPr>
              <w:jc w:val="left"/>
            </w:pPr>
            <w:r>
              <w:rPr>
                <w:sz w:val="16"/>
              </w:rPr>
              <w:t>Term Frequency-Inverse Document Frequency</w:t>
            </w:r>
          </w:p>
        </w:tc>
      </w:tr>
      <w:tr>
        <w:tc>
          <w:tcPr>
            <w:tcW w:type="dxa" w:w="1584"/>
            <w:shd w:val="clear" w:color="auto" w:fill="FFFFFF"/>
            <w:tcMar>
              <w:top w:w="60" w:type="dxa"/>
              <w:bottom w:w="60" w:type="dxa"/>
              <w:left w:w="100" w:type="dxa"/>
              <w:right w:w="100" w:type="dxa"/>
            </w:tcMar>
          </w:tcPr>
          <w:p>
            <w:pPr>
              <w:jc w:val="left"/>
            </w:pPr>
            <w:r>
              <w:rPr>
                <w:b/>
                <w:sz w:val="16"/>
              </w:rPr>
              <w:t>GCN</w:t>
            </w:r>
          </w:p>
        </w:tc>
        <w:tc>
          <w:tcPr>
            <w:tcW w:type="dxa" w:w="3096"/>
            <w:shd w:val="clear" w:color="auto" w:fill="FFFFFF"/>
            <w:tcMar>
              <w:top w:w="60" w:type="dxa"/>
              <w:bottom w:w="60" w:type="dxa"/>
              <w:left w:w="100" w:type="dxa"/>
              <w:right w:w="100" w:type="dxa"/>
            </w:tcMar>
          </w:tcPr>
          <w:p>
            <w:pPr>
              <w:jc w:val="left"/>
            </w:pPr>
            <w:r>
              <w:rPr>
                <w:sz w:val="16"/>
              </w:rPr>
              <w:t>Graph Convolutional Network</w:t>
            </w:r>
          </w:p>
        </w:tc>
        <w:tc>
          <w:tcPr>
            <w:tcW w:type="dxa" w:w="1584"/>
            <w:shd w:val="clear" w:color="auto" w:fill="FFFFFF"/>
            <w:tcMar>
              <w:top w:w="60" w:type="dxa"/>
              <w:bottom w:w="60" w:type="dxa"/>
              <w:left w:w="100" w:type="dxa"/>
              <w:right w:w="100" w:type="dxa"/>
            </w:tcMar>
          </w:tcPr>
          <w:p>
            <w:pPr>
              <w:jc w:val="left"/>
            </w:pPr>
            <w:r>
              <w:rPr>
                <w:b/>
                <w:sz w:val="16"/>
              </w:rPr>
              <w:t>TN</w:t>
            </w:r>
          </w:p>
        </w:tc>
        <w:tc>
          <w:tcPr>
            <w:tcW w:type="dxa" w:w="3096"/>
            <w:shd w:val="clear" w:color="auto" w:fill="FFFFFF"/>
            <w:tcMar>
              <w:top w:w="60" w:type="dxa"/>
              <w:bottom w:w="60" w:type="dxa"/>
              <w:left w:w="100" w:type="dxa"/>
              <w:right w:w="100" w:type="dxa"/>
            </w:tcMar>
          </w:tcPr>
          <w:p>
            <w:pPr>
              <w:jc w:val="left"/>
            </w:pPr>
            <w:r>
              <w:rPr>
                <w:sz w:val="16"/>
              </w:rPr>
              <w:t>True Negative</w:t>
            </w:r>
          </w:p>
        </w:tc>
      </w:tr>
      <w:tr>
        <w:tc>
          <w:tcPr>
            <w:tcW w:type="dxa" w:w="1584"/>
            <w:shd w:val="clear" w:color="auto" w:fill="F9FAFB"/>
            <w:tcMar>
              <w:top w:w="60" w:type="dxa"/>
              <w:bottom w:w="60" w:type="dxa"/>
              <w:left w:w="100" w:type="dxa"/>
              <w:right w:w="100" w:type="dxa"/>
            </w:tcMar>
          </w:tcPr>
          <w:p>
            <w:pPr>
              <w:jc w:val="left"/>
            </w:pPr>
            <w:r>
              <w:rPr>
                <w:b/>
                <w:sz w:val="16"/>
              </w:rPr>
              <w:t>GIN</w:t>
            </w:r>
          </w:p>
        </w:tc>
        <w:tc>
          <w:tcPr>
            <w:tcW w:type="dxa" w:w="3096"/>
            <w:shd w:val="clear" w:color="auto" w:fill="F9FAFB"/>
            <w:tcMar>
              <w:top w:w="60" w:type="dxa"/>
              <w:bottom w:w="60" w:type="dxa"/>
              <w:left w:w="100" w:type="dxa"/>
              <w:right w:w="100" w:type="dxa"/>
            </w:tcMar>
          </w:tcPr>
          <w:p>
            <w:pPr>
              <w:jc w:val="left"/>
            </w:pPr>
            <w:r>
              <w:rPr>
                <w:sz w:val="16"/>
              </w:rPr>
              <w:t>Graph Isomorphism Network</w:t>
            </w:r>
          </w:p>
        </w:tc>
        <w:tc>
          <w:tcPr>
            <w:tcW w:type="dxa" w:w="1584"/>
            <w:shd w:val="clear" w:color="auto" w:fill="F9FAFB"/>
            <w:tcMar>
              <w:top w:w="60" w:type="dxa"/>
              <w:bottom w:w="60" w:type="dxa"/>
              <w:left w:w="100" w:type="dxa"/>
              <w:right w:w="100" w:type="dxa"/>
            </w:tcMar>
          </w:tcPr>
          <w:p>
            <w:pPr>
              <w:jc w:val="left"/>
            </w:pPr>
            <w:r>
              <w:rPr>
                <w:b/>
                <w:sz w:val="16"/>
              </w:rPr>
              <w:t>TP</w:t>
            </w:r>
          </w:p>
        </w:tc>
        <w:tc>
          <w:tcPr>
            <w:tcW w:type="dxa" w:w="3096"/>
            <w:shd w:val="clear" w:color="auto" w:fill="F9FAFB"/>
            <w:tcMar>
              <w:top w:w="60" w:type="dxa"/>
              <w:bottom w:w="60" w:type="dxa"/>
              <w:left w:w="100" w:type="dxa"/>
              <w:right w:w="100" w:type="dxa"/>
            </w:tcMar>
          </w:tcPr>
          <w:p>
            <w:pPr>
              <w:jc w:val="left"/>
            </w:pPr>
            <w:r>
              <w:rPr>
                <w:sz w:val="16"/>
              </w:rPr>
              <w:t>True Positive</w:t>
            </w:r>
          </w:p>
        </w:tc>
      </w:tr>
      <w:tr>
        <w:tc>
          <w:tcPr>
            <w:tcW w:type="dxa" w:w="1584"/>
            <w:shd w:val="clear" w:color="auto" w:fill="FFFFFF"/>
            <w:tcMar>
              <w:top w:w="60" w:type="dxa"/>
              <w:bottom w:w="60" w:type="dxa"/>
              <w:left w:w="100" w:type="dxa"/>
              <w:right w:w="100" w:type="dxa"/>
            </w:tcMar>
          </w:tcPr>
          <w:p>
            <w:pPr>
              <w:jc w:val="left"/>
            </w:pPr>
            <w:r>
              <w:rPr>
                <w:b/>
                <w:sz w:val="16"/>
              </w:rPr>
              <w:t>GNN</w:t>
            </w:r>
          </w:p>
        </w:tc>
        <w:tc>
          <w:tcPr>
            <w:tcW w:type="dxa" w:w="3096"/>
            <w:shd w:val="clear" w:color="auto" w:fill="FFFFFF"/>
            <w:tcMar>
              <w:top w:w="60" w:type="dxa"/>
              <w:bottom w:w="60" w:type="dxa"/>
              <w:left w:w="100" w:type="dxa"/>
              <w:right w:w="100" w:type="dxa"/>
            </w:tcMar>
          </w:tcPr>
          <w:p>
            <w:pPr>
              <w:jc w:val="left"/>
            </w:pPr>
            <w:r>
              <w:rPr>
                <w:sz w:val="16"/>
              </w:rPr>
              <w:t>Graph Neural Network</w:t>
            </w:r>
          </w:p>
        </w:tc>
        <w:tc>
          <w:tcPr>
            <w:tcW w:type="dxa" w:w="1584"/>
            <w:shd w:val="clear" w:color="auto" w:fill="FFFFFF"/>
            <w:tcMar>
              <w:top w:w="60" w:type="dxa"/>
              <w:bottom w:w="60" w:type="dxa"/>
              <w:left w:w="100" w:type="dxa"/>
              <w:right w:w="100" w:type="dxa"/>
            </w:tcMar>
          </w:tcPr>
          <w:p>
            <w:pPr>
              <w:jc w:val="left"/>
            </w:pPr>
            <w:r>
              <w:rPr>
                <w:b/>
                <w:sz w:val="16"/>
              </w:rPr>
              <w:t>t-SNE</w:t>
            </w:r>
          </w:p>
        </w:tc>
        <w:tc>
          <w:tcPr>
            <w:tcW w:type="dxa" w:w="3096"/>
            <w:shd w:val="clear" w:color="auto" w:fill="FFFFFF"/>
            <w:tcMar>
              <w:top w:w="60" w:type="dxa"/>
              <w:bottom w:w="60" w:type="dxa"/>
              <w:left w:w="100" w:type="dxa"/>
              <w:right w:w="100" w:type="dxa"/>
            </w:tcMar>
          </w:tcPr>
          <w:p>
            <w:pPr>
              <w:jc w:val="left"/>
            </w:pPr>
            <w:r>
              <w:rPr>
                <w:sz w:val="16"/>
              </w:rPr>
              <w:t>t-Distributed Stochastic Neighbor Embedding</w:t>
            </w:r>
          </w:p>
        </w:tc>
      </w:tr>
      <w:tr>
        <w:tc>
          <w:tcPr>
            <w:tcW w:type="dxa" w:w="1584"/>
            <w:shd w:val="clear" w:color="auto" w:fill="F9FAFB"/>
            <w:tcMar>
              <w:top w:w="60" w:type="dxa"/>
              <w:bottom w:w="60" w:type="dxa"/>
              <w:left w:w="100" w:type="dxa"/>
              <w:right w:w="100" w:type="dxa"/>
            </w:tcMar>
          </w:tcPr>
          <w:p>
            <w:pPr>
              <w:jc w:val="left"/>
            </w:pPr>
            <w:r>
              <w:rPr>
                <w:b/>
                <w:sz w:val="16"/>
              </w:rPr>
              <w:t>GPU</w:t>
            </w:r>
          </w:p>
        </w:tc>
        <w:tc>
          <w:tcPr>
            <w:tcW w:type="dxa" w:w="3096"/>
            <w:shd w:val="clear" w:color="auto" w:fill="F9FAFB"/>
            <w:tcMar>
              <w:top w:w="60" w:type="dxa"/>
              <w:bottom w:w="60" w:type="dxa"/>
              <w:left w:w="100" w:type="dxa"/>
              <w:right w:w="100" w:type="dxa"/>
            </w:tcMar>
          </w:tcPr>
          <w:p>
            <w:pPr>
              <w:jc w:val="left"/>
            </w:pPr>
            <w:r>
              <w:rPr>
                <w:sz w:val="16"/>
              </w:rPr>
              <w:t>Graphics Processing Unit</w:t>
            </w:r>
          </w:p>
        </w:tc>
        <w:tc>
          <w:tcPr>
            <w:tcW w:type="dxa" w:w="1584"/>
            <w:shd w:val="clear" w:color="auto" w:fill="F9FAFB"/>
            <w:tcMar>
              <w:top w:w="60" w:type="dxa"/>
              <w:bottom w:w="60" w:type="dxa"/>
              <w:left w:w="100" w:type="dxa"/>
              <w:right w:w="100" w:type="dxa"/>
            </w:tcMar>
          </w:tcPr>
          <w:p>
            <w:pPr>
              <w:jc w:val="left"/>
            </w:pPr>
            <w:r>
              <w:rPr>
                <w:b/>
                <w:sz w:val="16"/>
              </w:rPr>
              <w:t>UPX</w:t>
            </w:r>
          </w:p>
        </w:tc>
        <w:tc>
          <w:tcPr>
            <w:tcW w:type="dxa" w:w="3096"/>
            <w:shd w:val="clear" w:color="auto" w:fill="F9FAFB"/>
            <w:tcMar>
              <w:top w:w="60" w:type="dxa"/>
              <w:bottom w:w="60" w:type="dxa"/>
              <w:left w:w="100" w:type="dxa"/>
              <w:right w:w="100" w:type="dxa"/>
            </w:tcMar>
          </w:tcPr>
          <w:p>
            <w:pPr>
              <w:jc w:val="left"/>
            </w:pPr>
            <w:r>
              <w:rPr>
                <w:sz w:val="16"/>
              </w:rPr>
              <w:t>Ultimate Packer for eXecutables</w:t>
            </w:r>
          </w:p>
        </w:tc>
      </w:tr>
      <w:tr>
        <w:tc>
          <w:tcPr>
            <w:tcW w:type="dxa" w:w="1584"/>
            <w:shd w:val="clear" w:color="auto" w:fill="FFFFFF"/>
            <w:tcMar>
              <w:top w:w="60" w:type="dxa"/>
              <w:bottom w:w="60" w:type="dxa"/>
              <w:left w:w="100" w:type="dxa"/>
              <w:right w:w="100" w:type="dxa"/>
            </w:tcMar>
          </w:tcPr>
          <w:p>
            <w:pPr>
              <w:jc w:val="left"/>
            </w:pPr>
            <w:r>
              <w:rPr>
                <w:b/>
                <w:sz w:val="16"/>
              </w:rPr>
              <w:t>GRAM</w:t>
            </w:r>
          </w:p>
        </w:tc>
        <w:tc>
          <w:tcPr>
            <w:tcW w:type="dxa" w:w="3096"/>
            <w:shd w:val="clear" w:color="auto" w:fill="FFFFFF"/>
            <w:tcMar>
              <w:top w:w="60" w:type="dxa"/>
              <w:bottom w:w="60" w:type="dxa"/>
              <w:left w:w="100" w:type="dxa"/>
              <w:right w:w="100" w:type="dxa"/>
            </w:tcMar>
          </w:tcPr>
          <w:p>
            <w:pPr>
              <w:jc w:val="left"/>
            </w:pPr>
            <w:r>
              <w:rPr>
                <w:sz w:val="16"/>
              </w:rPr>
              <w:t>Volumetric Gramian Representation Alignment</w:t>
            </w:r>
          </w:p>
        </w:tc>
        <w:tc>
          <w:tcPr>
            <w:tcW w:type="dxa" w:w="1584"/>
            <w:shd w:val="clear" w:color="auto" w:fill="FFFFFF"/>
            <w:tcMar>
              <w:top w:w="60" w:type="dxa"/>
              <w:bottom w:w="60" w:type="dxa"/>
              <w:left w:w="100" w:type="dxa"/>
              <w:right w:w="100" w:type="dxa"/>
            </w:tcMar>
          </w:tcPr>
          <w:p>
            <w:pPr>
              <w:jc w:val="left"/>
            </w:pPr>
            <w:r>
              <w:rPr>
                <w:sz w:val="16"/>
              </w:rPr>
            </w:r>
          </w:p>
        </w:tc>
        <w:tc>
          <w:tcPr>
            <w:tcW w:type="dxa" w:w="3096"/>
            <w:shd w:val="clear" w:color="auto" w:fill="FFFFFF"/>
            <w:tcMar>
              <w:top w:w="60" w:type="dxa"/>
              <w:bottom w:w="60" w:type="dxa"/>
              <w:left w:w="100" w:type="dxa"/>
              <w:right w:w="100" w:type="dxa"/>
            </w:tcMar>
          </w:tcPr>
          <w:p>
            <w:pPr>
              <w:jc w:val="left"/>
            </w:pPr>
            <w:r>
              <w:rPr>
                <w:sz w:val="16"/>
              </w:rP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