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primary peer-reviewed journal benchmark studies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primary peer-reviewed journal benchmark studies,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Ten controlled architectural ablations isolating the marginal contribution of each modality, alignment objective, and fusion mechanism (\Delta\text{F1} ranging from -0.0296 for GRAM removal to -0.1989 for unimodal syscall baseline),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primary peer-reviewed journal benchmark studies were retained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primary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(bootstrap 95% CI: [99.47%, 99.93%]). For F1-score (positive-class F1: 0.9973; macro-averaged F1: 0.9973), the Wilson interval is [0.9931, 0.9989] (bootstrap 95% CI: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primary peer-reviewed journal benchmark studies.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