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Rupesh Kohli¹*</w:t>
        <w:br/>
      </w:r>
      <w:r>
        <w:rPr>
          <w:i/>
          <w:sz w:val="19"/>
        </w:rPr>
        <w:t>¹Department of Artificial Intelligence and Data Science, Sandip Institute of Technology and Research Centre, Nashik, 422213, Maharashtra, India</w:t>
        <w:br/>
        <w:t>(*Corresponding Author: kohlirupesh19@gmail.com)</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primary peer-reviewed journal benchmark studies across five academic digital libraries.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 precision, and 99.46% recall on the 1,500 held-out test binaries (740 TP, 756 TN, 4 FN, 0 FP). Under a single-family WannaCry holdout (157 test samples), it attains 100.0% recall with 0.9297 mean confidence. Under UPX packing, accuracy drops to 88.0% with a 24.0% false positive rate on packed benign binaries, while dead-code insertion causes a 40.0% false negative rate, establishing explicit operational boundaries. Neural forward latency is 28.87 ms on CPU; a two-stage triage filter resolves 86.2% of binaries in 17.53 ms, cutting dynamic sandbox queuing by 86.2%.</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academic indexing databases (n = 842 initial records, 15 included primary peer-reviewed journal benchmark studies, inter-rater reliability \kappa = 0.84),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 specificity) and four false negatives (0.54% FNR).</w:t>
        <w:br/>
        <w:t xml:space="preserve">    • Controlled Ablation and Robustness Evaluation: Ten controlled architectural ablations isolating the marginal contribution of each modality, alignment objective, and fusion mechanism (\Delta\text{F1} ranging from -0.0296 for GRAM removal to -0.1989 for unimodal syscall baseline), accompanied by stress-testing across five adversarial obfuscations (UPX packing, dead-code injection, CFG flattening, sandbox stalling).</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In cyber-physical and power grid infrastructures, machine learning-driven anomaly detection has demonstrated critical defensive utility against false-data injection and network-level intrusion [Almalaq2023Power,Almalaq2022Deep,Alnowibet2021Energy].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digital indexing databases were searched: IEEE Xplore, ACM Digital Library, ScienceDirect (Elsevier), SpringerLink, and Wiley Online Library.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primary peer-reviewed journal benchmark studies were retained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primary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chronological temporal partitions, and sample-level 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(Table tab:dataset_splits).</w:t>
        <w:br/>
        <w:t xml:space="preserve">    • Class Balance: The training cohort comprises exactly 3,500 benign and 3,500 malware binaries (50.0% balance). The held-out test split comprises 756 benign and 744 malware binaries.</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To ensure fairness, seven contemporary baseline models were reproduced internally on the exact same 1,500 held-out test binaries:</w:t>
      </w:r>
    </w:p>
    <w:p>
      <w:r>
        <w:t>• Opcode Transformer Only: Unimodal static token baseline (d_{\text{model}} = 128, 4 layers).</w:t>
        <w:br/>
        <w:t xml:space="preserve">    • CFG-GIN Only: Unimodal graph neural network baseline (K = 3 layers).</w:t>
        <w:br/>
        <w:t xml:space="preserve">    • Syscall Bi-LSTM Only: Unimodal dynamic behavioral trace baseline (2 layers).</w:t>
        <w:br/>
        <w:t xml:space="preserve">    • MalConv Gated CNN: Byte-level convolutional network baseline [Gibert2020].</w:t>
        <w:br/>
        <w:t xml:space="preserve">    • Gemini Structure2Vec: Graph embedding baseline for binary similarity [Kim2023Revisiting].</w:t>
        <w:br/>
        <w:t xml:space="preserve">    • Asm2Vec Word2Vec: Assembly instruction representation baseline [BinCola2024].</w:t>
        <w:br/>
        <w:t xml:space="preserve">    • Concat MLP (Early Fusion): Direct concatenation of raw feature vectors without contrastive InfoNCE or GRAM regularizers.</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 recall of 99.46%, and F1-score of 0.9973 at default decision threshold \theta = 0.50 (Table tab:benchmark_comparison and Fig. fig:confusion_matrix). Exactly four false negatives were observed, with zero false positives.</w:t>
      </w:r>
    </w:p>
    <w:p>
      <w:r>
        <w:t>[TABLE INSERTED HERE]</w:t>
      </w:r>
    </w:p>
    <w:p>
      <w:r>
        <w:t>[FIGURE INSERTED HERE]</w:t>
      </w:r>
    </w:p>
    <w:p>
      <w:r>
        <w:t>The Wilson score 95% confidence interval for test accuracy is [99.32%, 99.90%] (bootstrap 95% CI: [99.47%, 99.93%]). For F1-score, the Wilson interval is [0.9931, 0.9989] (bootstrap: [0.9946, 0.9993]). Both ROC-AUC and PR-AUC reached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 splits, two supplementary protocols were audited:</w:t>
      </w:r>
    </w:p>
    <w:p>
      <w:r>
        <w:t>• Single-Family WannaCry Holdout: When evaluated on 157 test binaries of ransomware_wannacry held out from training, the model achieved 100.0% recall with a mean classification confidence of 0.9297 (Fig. fig:wannacry_holdout).</w:t>
        <w:br/>
        <w:t xml:space="preserve">    • Temporal Drift Evaluation: When partitioned across four chronological windows of 375 samples each, test accuracies were 99.47%, 100.0%, 99.73%, and 99.73%, exhibiting a negligible F1 drift drop of \Delta\text{F1} = -0.0028.</w:t>
      </w:r>
    </w:p>
    <w:p>
      <w:r>
        <w:t>[FIGURE INSERTED HERE]</w:t>
      </w:r>
    </w:p>
    <w:p>
      <w:pPr>
        <w:spacing w:before="280" w:after="120"/>
      </w:pPr>
      <w:r>
        <w:rPr>
          <w:rFonts w:ascii="Times New Roman" w:hAnsi="Times New Roman"/>
          <w:b/>
          <w:color w:val="1E3A8A"/>
          <w:sz w:val="28"/>
        </w:rPr>
        <w:t>13 Robustness Evaluation</w:t>
      </w:r>
    </w:p>
    <w:p>
      <w:r>
        <w:t>Stress-testing under five adversarial transformations reveals critical insights into channel reallocation and operational failure cases (Table tab:robustness_results and Fig. fig:robustness_analysis):</w:t>
      </w:r>
    </w:p>
    <w:p>
      <w:r>
        <w:t>• UPX Packing (Failure Case Disclosed): Accuracy drops to 88.0% with a 24.0% false positive rate on packed benign executables (120/500), caused by compression entropy elevation (&gt;7.2 bits/byte). Attention reweights from opcode (0.389) to syscalls (0.343).</w:t>
        <w:br/>
        <w:t xml:space="preserve">    • Dead-Code Insertion (Failure Case Disclosed): Accuracy drops to 80.0% with a 40.0% false negative rate (200/500 missed) due to token sequence flooding displacing informative prologue opcodes.</w:t>
        <w:br/>
        <w:t xml:space="preserve">    • CFG Flattening &amp; Stalling: Model retains 96.0% accuracy under CFF and 98.0%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w:t>
      </w:r>
    </w:p>
    <w:p>
      <w:r>
        <w:t>Module-level profiling confirms that the full tri-modal forward pass requires 28.87 ms on CPU (throughput: 34.6 samples/sec), whereas fast static triage requires only 17.53 ms (throughput: 57.0 samples/sec) (Table tab:latency_breakdown and Fig. fig:latency_triage). Static triage resolves 86.2% of binaries in Stage 1 with 99.23% accuracy, cutting dynamic sandbox load by 86.2%.</w:t>
      </w:r>
    </w:p>
    <w:p>
      <w:r>
        <w:t>[TABLE INSERTED HERE]</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 FPR.</w:t>
        <w:br/>
        <w:t xml:space="preserve">    • Dead-Code Truncation: Sequence flooding pushes API calls beyond the 2048 token budget.</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w:t>
        <w:br/>
        <w:t xml:space="preserve">    • Simulated Temporal Partitions: Temporal timestamps were recorded from catalog simulations.</w:t>
        <w:br/>
        <w:t xml:space="preserve">    • Single-Family Holdout Constraint: True zero-day claims are limited by shared training lineages.</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fundamentally outperforms unimodal detection. While unimodal branches achieve accuracies between 80.07% and 86.47%, the joint tri-modal framework reaches 99.73%. The operational triage filter bridges the practical gap between high accuracy and dynamic execution cost, resolving over 86% of binaries in static mode.</w:t>
      </w:r>
    </w:p>
    <w:p>
      <w:pPr>
        <w:spacing w:before="280" w:after="120"/>
      </w:pPr>
      <w:r>
        <w:rPr>
          <w:rFonts w:ascii="Times New Roman" w:hAnsi="Times New Roman"/>
          <w:b/>
          <w:color w:val="1E3A8A"/>
          <w:sz w:val="28"/>
        </w:rPr>
        <w:t>18 Limitations</w:t>
      </w:r>
    </w:p>
    <w:p>
      <w:r>
        <w:t>Primary limitations include the single-architecture PE focus, sandbox queue dependencies for ambiguous samples, vulnerability of static opcodes to compression entropy (UPX), and token budget constraints under dead-code insertion. Future work will investigate intermediate compiler IR representations (e.g., LLVM IR) to enable cross-ISA portability.</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primary peer-reviewed journal benchmark studies. By regularizing Opcode Transformers, CFG-GINs, and Syscall Bi-LSTMs via pairwise InfoNCE alignment and Volumetric Gramian loss, the architecture achieved 99.73% accuracy and 100.0% precision on 1,500 held-out test binaries, with 100.0% recall on a single-family WannaCry holdout. Honest disclosure of failure modes under UPX packing and dead-code insertion establishes defensible operational boundaries for production deployment.</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All experimental results can be reproduced by executing python3 INDEPENDENT_METRIC_VERIFICATION.py and python3 -m pytest -v.</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datasets and code artifacts are available in the public repository.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All benchmark manifests, model checkpoints, feature processing pipelines, evaluation scripts, and structured verification spreadsheets are openly accessible for peer-reviewer verification at GitHub: https://github.com/kohlirupesh19/Multi-Model. Benchmark datasets, manifests, and frozen evaluation splits are directly accessible at https://github.com/kohlirupesh19/Multi-Model/tree/main/datasets. The dedicated directory Research Paper/verification_excel/ contains master and modular Excel workbooks documenting reviewer compliance, claim provenance, test-split disjointness, and raw metric calculations.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(2022).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(2022).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after="80"/>
        <w:ind w:left="360" w:hanging="360"/>
      </w:pPr>
      <w:r>
        <w:rPr>
          <w:b/>
        </w:rPr>
        <w:t xml:space="preserve">[27] </w:t>
      </w:r>
      <w:r>
        <w:t xml:space="preserve">Abdulaziz Almalaq and Saleh Albadran and Mohamed A. Mohamed (2023). An Adoptive Miner-Misuse Based Online Anomaly Detection Approach in the Power System: An Optimum Reinforcement Learning Method. </w:t>
      </w:r>
      <w:r>
        <w:rPr>
          <w:i/>
        </w:rPr>
        <w:t xml:space="preserve">Mathematics. </w:t>
      </w:r>
      <w:r>
        <w:rPr>
          <w:color w:val="2563EB"/>
        </w:rPr>
        <w:t>https://doi.org/10.3390/math11040884</w:t>
      </w:r>
    </w:p>
    <w:p>
      <w:pPr>
        <w:spacing w:after="80"/>
        <w:ind w:left="360" w:hanging="360"/>
      </w:pPr>
      <w:r>
        <w:rPr>
          <w:b/>
        </w:rPr>
        <w:t xml:space="preserve">[28] </w:t>
      </w:r>
      <w:r>
        <w:t xml:space="preserve">Abdulaziz Almalaq and Saleh Albadran and Mohamed Mohamed (2022). Deep Machine Learning Model-Based Cyber-Attacks Detection in Smart Power Systems. </w:t>
      </w:r>
      <w:r>
        <w:rPr>
          <w:i/>
        </w:rPr>
        <w:t xml:space="preserve">Mathematics. </w:t>
      </w:r>
      <w:r>
        <w:rPr>
          <w:color w:val="2563EB"/>
        </w:rPr>
        <w:t>https://doi.org/10.3390/math10152574</w:t>
      </w:r>
    </w:p>
    <w:p>
      <w:pPr>
        <w:spacing w:after="80"/>
        <w:ind w:left="360" w:hanging="360"/>
      </w:pPr>
      <w:r>
        <w:rPr>
          <w:b/>
        </w:rPr>
        <w:t xml:space="preserve">[29] </w:t>
      </w:r>
      <w:r>
        <w:t xml:space="preserve">Khalid Alnowibet and Andres Annuk and Anura Dampage and Mohamed A. Mohamed (2021). Effective Energy Management via False Data Detection Scheme for the Interconnected Smart Energy Hub--Microgrid System under Stochastic Framework. </w:t>
      </w:r>
      <w:r>
        <w:rPr>
          <w:i/>
        </w:rPr>
        <w:t xml:space="preserve">Sustainability. </w:t>
      </w:r>
      <w:r>
        <w:rPr>
          <w:color w:val="2563EB"/>
        </w:rPr>
        <w:t>https://doi.org/10.3390/su132111836</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