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primary peer-reviewed journal benchmark studies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primary peer-reviewed journal benchmark studies,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primary peer-reviewed journal benchmark studies were retained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primary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(bootstrap 95% CI: [99.47%, 99.93%]). For F1-score (positive-class F1: 0.9973; macro-averaged F1: 0.9973), the Wilson interval is [0.9931, 0.9989] (bootstrap 95% CI: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primary peer-reviewed journal benchmark studies.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