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0.84),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multi-scale readout concatenates global mean and max pooled node embeddings across basic blocks: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Gramian determinant \det(\mathbf{G}) quantifies the squared volume of the parallelotope spanned by \{\mathbf{z}_{\text{op}}, \mathbf{z}_{\text{cfg}}, \mathbf{z}_{\text{sys}}\} in \mathbb{R}^{d}. For true multimodal triplets of binary i \in \mathcal{B}, representations are regularized towards a compact shared manifold by minimizing the positive Gramian volume \det(\mathbf{G}_i^+ + \epsilon \mathbf{I}_3), while cross-sample negative triplets \mathbf{G}_i^- are regularized to preserve semantic volumetric dispersion. With numerical stabilizer \epsilon = 10^{-4} and separation weight \lambda_{\text{sep}} = 0.10, the Volumetric GRAM loss is formulated as:</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Volumetric GRAM regularizer weight \gamma = 0.50 and separation margin \lambda_{\text{sep}} = 0.10.</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Strict cryptographic SHA-256 deduplication guarantees that no binary executable appears in more than one partition (\text{Train} \cap \text{Val} = \emptyset, \text{Train} \cap \text{Test} = \emptyset, \text{Val} \cap \text{Test} = \emptyset). In addition to overall test metrics, we conduct a dedicated single-family holdout evaluation on the 157 held-out test binaries belonging to the ransomware_wannacry lineage (Section sec:generalization), verifying that the 157 test binaries are strictly disjoint by hash from the training cohort and evaluating family-specific recall and confidence calibration.</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one was independently reimplemented based on published malware detection specifications (MalConv), and two representation/similarity models (Asm2Vec and Gemini) were reimplemented and adapted for supervised binary classification:</w:t>
      </w:r>
    </w:p>
    <w:p>
      <w:r>
        <w:t>• Opcode Transformer Only (Internally Reproduced): Unimodal static token baseline (d_{\text{model}} = 128, 4 layers) with masked mean pooling and linear classification head.</w:t>
        <w:br/>
        <w:t xml:space="preserve">    • CFG-GIN Only (Internally Reproduced): Unimodal graph neural network baseline (K = 3 layers) over inter-procedural CFGs with sum pooling.</w:t>
        <w:br/>
        <w:t xml:space="preserve">    • Syscall Bi-LSTM Only (Internally Reproduced): Unimodal dynamic behavioral trace baseline (2 layers) over logged API call sequences.</w:t>
        <w:br/>
        <w:t xml:space="preserve">    • Concat MLP / Early Fusion (Internally Reproduced): Direct feature vector concatenation (3 \times 128 = 384 dim) without InfoNCE alignment or Volumetric GRAM regularization.</w:t>
        <w:br/>
        <w:t xml:space="preserve">    • MalConv Gated CNN (Reimplemented Benchmark): Byte-level convolutional network (filter size 500, kernel size 8) with temporal global max-pooling and a 128-dimensional dense classifier, reimplemented based on Gibert et al. [Gibert2020].</w:t>
        <w:br/>
        <w:t xml:space="preserve">    • Gemini Structure2Vec (Adapted &amp; Reimplemented): Originally designed for binary code similarity search [Kim2023Revisiting], adapted for malware detection by extracting Attributed Control Flow Graphs (ACFGs), computing Structure2Vec message-passing embeddings (d = 128), and appending a 2-layer MLP classification head trained via cross-entropy.</w:t>
        <w:br/>
        <w:t xml:space="preserve">    • Asm2Vec Word2Vec (Adapted &amp; Reimplemented): Originally proposed for assembly function similarity [BinCola2024], adapted for classification by sampling assembly instruction token random walks to produce PV-DM document embeddings (d = 128), connected to a supervised 2-layer MLP classification head trained via cross-entropy.</w:t>
      </w:r>
    </w:p>
    <w:p>
      <w:r>
        <w:t>All models were trained on the identical 7,000 training partition binaries, validated on the 1,500 validation binaries, and evaluated at decision threshold \theta = 0.50 on the identical 1,500 held-out test partition tensors.</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within specific families, a targeted single-family holdout evaluation was conducted on the 157 held-out test binaries belonging to the ransomware_wannacry family lineage (Table tab:family_holdout). All 157 test instances represent strictly unique SHA-256 hashes disjoint from the training and validation partitions. The tri-modal architecture achieved 100.00% recall (157 of 157 detected, 0 false negatives) with a mean classification confidence score of 0.9297 (Fig. fig:wannacry_holdout). We explicitly note that shared inductive priors (e.g., cryptographic API sequences, file encryption loops, and compiler runtime routines shared across ransomware and other malware families in the training corpus) facilitate classification. Therefore, this evaluation demonstrates robust variant detection on a single-family test cohort rather than universal zero-day generalization against unprecedented exploit mechanics.</w:t>
      </w:r>
    </w:p>
    <w:p>
      <w:r>
        <w:t>[TABLE INSERTED HERE]</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(Table tab:temporal_evaluation).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[TABLE INSERTED HERE]</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Parameter profiling confirms the lightweight footprint of the architecture: the full tri-modal model comprises exactly 537{,}090 parameters (2.15 MB memory footprint in 32-bit floating point), distributed across the Opcode Transformer (394{,}240 parameters, 1.58 MB), CFG-GIN (26{,}880 parameters, 0.11 MB), Syscall Bi-LSTM (99{,}328 parameters, 0.40 MB), and Attention Fusion Head (16{,}642 parameters, 0.07 MB). This compact footprint explains the sub-30 ms CPU forward execution without requiring specialized GPU acceleration.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on unseen instances within a specific family lineage under strict SHA-256 hash disjointness. However, shared cryptographic routines, compiler runtimes, and common malware behavioral primitives across training families provide strong inductive priors; this must not be construed as universal zero-day immunity against entirely novel exploit mechanisms.</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To ensure complete scientific reproducibility while adhering to legal and security containment guidelines for weaponizable software artifacts, repository availability is structured across six distinct tiers:</w:t>
      </w:r>
    </w:p>
    <w:p>
      <w:r>
        <w:t>• Raw Executable Binaries (Restricted): In strict compliance with security containment policies, legal distribution liability, and hosting terms of service, live executable malware binaries cannot be redistributed directly. Researchers may reconstruct the raw binary corpus from primary archival repositories (VirusShare, VX-Underground) using the provided cryptographic SHA-256 catalog manifests.</w:t>
        <w:br/>
        <w:t xml:space="preserve">    • Catalog Manifests (Publicly Available): The complete 100,000-binary catalog manifest is available at datasets/benchmark_100k/dataset_manifest.jsonl, detailing SHA-256 hashes, ground-truth family labels, file sizes, compile timestamps, and repository provenance.</w:t>
        <w:br/>
        <w:t xml:space="preserve">    • Derived Datasets and Partitions (Publicly Available): Exactly 10,000 pre-processed multimodal instances partitioned across 10 deterministic shards (shard_000.pt to shard_009.pt) and deterministic evaluation splits (train_split.pt [7,000], val_split.pt [1,500], and test_split.pt [1,500]) are provided in the datasets/ directory.</w:t>
        <w:br/>
        <w:t xml:space="preserve">    • Feature Tensors and Cache Registry (Publicly Available): Serialized PyTorch tensor representations for static opcode streams, normalized control-flow graphs, and dynamic system call sequences are accessible in features_cache/tensors/, indexed via SQLite database (features_cache/features_index.sqlite).</w:t>
        <w:br/>
        <w:t xml:space="preserve">    • Trained Model Checkpoints (Publicly Available): Optimal trained PyTorch model weights (checkpoints/best_model.pt), hyperparameter manifests (model_manifest.json), and epoch-by-epoch convergence histories (training_history.json) are fully open-access.</w:t>
        <w:br/>
        <w:t xml:space="preserve">    • Replication Scripts and Test Suites (Publicly Available): The complete software implementation, end-to-end master replication pipeline (reproduce_all.sh and reproduce_all.py), and 54 automated pytest unit tests are hosted at \url{https://github.com/kohlirupesh19/Multi-Model.git} (branch publication-remediation).</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serialized evaluation tensors, model checkpoints, and replication scripts are publicly accessible in the project repository (\url{https://github.com/kohlirupesh19/Multi-Model.git}). In accordance with responsible disclosure and security containment policies, raw live malware executables are not redistributed; they are uniquely indexed via cryptographic SHA-256 hashes for authorized acquisition from their original archival repositories (VirusShare, VX-Underground).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(2023).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(2023).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