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1D77E" w14:textId="77777777" w:rsidR="001474A6" w:rsidRDefault="0046089A">
      <w:pPr>
        <w:rPr>
          <w:lang w:val="en-US"/>
        </w:rPr>
      </w:pPr>
      <w:r>
        <w:rPr>
          <w:lang w:val="en-US"/>
        </w:rPr>
        <w:t xml:space="preserve">A [[1,2, Maier, S. A. </w:t>
      </w:r>
      <w:proofErr w:type="spellStart"/>
      <w:r>
        <w:rPr>
          <w:lang w:val="en-US"/>
        </w:rPr>
        <w:t>Plasmonics</w:t>
      </w:r>
      <w:proofErr w:type="spellEnd"/>
      <w:r>
        <w:rPr>
          <w:lang w:val="en-US"/>
        </w:rPr>
        <w:t>: Fundamentals and Applications;</w:t>
      </w:r>
    </w:p>
    <w:p w14:paraId="5374CE8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Springer: New York, 2007.6. </w:t>
      </w:r>
      <w:proofErr w:type="spellStart"/>
      <w:r>
        <w:rPr>
          <w:lang w:val="en-US"/>
        </w:rPr>
        <w:t>Gramotnev</w:t>
      </w:r>
      <w:proofErr w:type="spellEnd"/>
      <w:r>
        <w:rPr>
          <w:lang w:val="en-US"/>
        </w:rPr>
        <w:t xml:space="preserve">, D. K.; </w:t>
      </w:r>
      <w:proofErr w:type="spellStart"/>
      <w:r>
        <w:rPr>
          <w:lang w:val="en-US"/>
        </w:rPr>
        <w:t>Bozhevolnyi</w:t>
      </w:r>
      <w:proofErr w:type="spellEnd"/>
      <w:r>
        <w:rPr>
          <w:lang w:val="en-US"/>
        </w:rPr>
        <w:t>, S. I. Plasmonic Beyond the Di</w:t>
      </w:r>
      <w:r>
        <w:t>ﬀ</w:t>
      </w:r>
      <w:proofErr w:type="spellStart"/>
      <w:r>
        <w:rPr>
          <w:lang w:val="en-US"/>
        </w:rPr>
        <w:t>raction</w:t>
      </w:r>
      <w:proofErr w:type="spellEnd"/>
      <w:r>
        <w:rPr>
          <w:lang w:val="en-US"/>
        </w:rPr>
        <w:t xml:space="preserve"> Limit. Nat. Photonics 2010, 4, 83–91.]</w:t>
      </w:r>
    </w:p>
    <w:p w14:paraId="4323A4AD" w14:textId="77777777" w:rsidR="001474A6" w:rsidRDefault="0046089A">
      <w:pPr>
        <w:rPr>
          <w:lang w:val="en-US"/>
        </w:rPr>
      </w:pPr>
      <w:r>
        <w:rPr>
          <w:lang w:val="en-US"/>
        </w:rPr>
        <w:t>]</w:t>
      </w:r>
    </w:p>
    <w:p w14:paraId="49714AF4" w14:textId="77777777" w:rsidR="001474A6" w:rsidRDefault="001474A6">
      <w:pPr>
        <w:rPr>
          <w:lang w:val="en-US"/>
        </w:rPr>
      </w:pPr>
    </w:p>
    <w:p w14:paraId="1A553EC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multiphoton excited luminescence </w:t>
      </w:r>
    </w:p>
    <w:p w14:paraId="5355D40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[Castro-Lopez, M.; Brinks, D.; Sapienza, R.; van Hulst, N. F. Aluminum for Nonlinear </w:t>
      </w:r>
      <w:proofErr w:type="spellStart"/>
      <w:r>
        <w:rPr>
          <w:b/>
          <w:bCs/>
          <w:lang w:val="en-US"/>
        </w:rPr>
        <w:t>Plasmonics</w:t>
      </w:r>
      <w:proofErr w:type="spellEnd"/>
      <w:r>
        <w:rPr>
          <w:b/>
          <w:bCs/>
          <w:lang w:val="en-US"/>
        </w:rPr>
        <w:t xml:space="preserve">: Resonance-Driven Polarized Luminescence of Al, Ag, and Au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4674–4678. </w:t>
      </w:r>
    </w:p>
    <w:p w14:paraId="1EB3B676" w14:textId="77777777" w:rsidR="001474A6" w:rsidRDefault="004608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Biagioni</w:t>
      </w:r>
      <w:proofErr w:type="spellEnd"/>
      <w:r>
        <w:rPr>
          <w:b/>
          <w:bCs/>
          <w:lang w:val="en-US"/>
        </w:rPr>
        <w:t xml:space="preserve">, P.; </w:t>
      </w:r>
      <w:proofErr w:type="spellStart"/>
      <w:r>
        <w:rPr>
          <w:b/>
          <w:bCs/>
          <w:lang w:val="en-US"/>
        </w:rPr>
        <w:t>Brida</w:t>
      </w:r>
      <w:proofErr w:type="spellEnd"/>
      <w:r>
        <w:rPr>
          <w:b/>
          <w:bCs/>
          <w:lang w:val="en-US"/>
        </w:rPr>
        <w:t xml:space="preserve">, D.; Huang, J.-S.; Kern, J.; </w:t>
      </w:r>
      <w:proofErr w:type="spellStart"/>
      <w:r>
        <w:rPr>
          <w:b/>
          <w:bCs/>
          <w:lang w:val="en-US"/>
        </w:rPr>
        <w:t>Duò</w:t>
      </w:r>
      <w:proofErr w:type="spellEnd"/>
      <w:r>
        <w:rPr>
          <w:b/>
          <w:bCs/>
          <w:lang w:val="en-US"/>
        </w:rPr>
        <w:t xml:space="preserve">, L.; Hecht, B.; </w:t>
      </w:r>
      <w:proofErr w:type="spellStart"/>
      <w:r>
        <w:rPr>
          <w:b/>
          <w:bCs/>
          <w:lang w:val="en-US"/>
        </w:rPr>
        <w:t>Finazzi</w:t>
      </w:r>
      <w:proofErr w:type="spellEnd"/>
      <w:r>
        <w:rPr>
          <w:b/>
          <w:bCs/>
          <w:lang w:val="en-US"/>
        </w:rPr>
        <w:t xml:space="preserve">, M.; </w:t>
      </w:r>
      <w:proofErr w:type="spellStart"/>
      <w:r>
        <w:rPr>
          <w:b/>
          <w:bCs/>
          <w:lang w:val="en-US"/>
        </w:rPr>
        <w:t>Cerullo</w:t>
      </w:r>
      <w:proofErr w:type="spellEnd"/>
      <w:r>
        <w:rPr>
          <w:b/>
          <w:bCs/>
          <w:lang w:val="en-US"/>
        </w:rPr>
        <w:t xml:space="preserve">, G. Dynamics of Four-Photon Photoluminescence in Gold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2012, 12, 2941–2947. </w:t>
      </w:r>
    </w:p>
    <w:p w14:paraId="6F6B7CE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Ko, K. D.; Kumar, A.; Fung, K. H.; </w:t>
      </w:r>
      <w:proofErr w:type="spellStart"/>
      <w:r>
        <w:rPr>
          <w:b/>
          <w:bCs/>
          <w:lang w:val="en-US"/>
        </w:rPr>
        <w:t>Ambekar</w:t>
      </w:r>
      <w:proofErr w:type="spellEnd"/>
      <w:r>
        <w:rPr>
          <w:b/>
          <w:bCs/>
          <w:lang w:val="en-US"/>
        </w:rPr>
        <w:t xml:space="preserve">, R.; Liu, G. L.; Fang, N. X.; Kimani, J.; Toussaint, C. Nonlinear Optical Response from Arrays of Au Bowtie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61–65., </w:t>
      </w:r>
      <w:hyperlink r:id="rId4">
        <w:r>
          <w:rPr>
            <w:rStyle w:val="a7"/>
            <w:b/>
            <w:bCs/>
            <w:lang w:val="en-US"/>
          </w:rPr>
          <w:t>https://pubs.acs.org/doi/abs/10.1021/acsphotonics.0c01747</w:t>
        </w:r>
      </w:hyperlink>
      <w:r>
        <w:rPr>
          <w:b/>
          <w:bCs/>
          <w:lang w:val="en-US"/>
        </w:rPr>
        <w:t>],</w:t>
      </w:r>
    </w:p>
    <w:p w14:paraId="09A34798" w14:textId="77777777" w:rsidR="001474A6" w:rsidRDefault="0046089A">
      <w:pPr>
        <w:rPr>
          <w:lang w:val="en-US"/>
        </w:rPr>
      </w:pPr>
      <w:r>
        <w:rPr>
          <w:lang w:val="en-US"/>
        </w:rPr>
        <w:t xml:space="preserve">four-wave mixing </w:t>
      </w:r>
    </w:p>
    <w:p w14:paraId="57FE42FF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[21. </w:t>
      </w:r>
      <w:proofErr w:type="spellStart"/>
      <w:r>
        <w:rPr>
          <w:b/>
          <w:bCs/>
          <w:lang w:val="en-US"/>
        </w:rPr>
        <w:t>Danckwerts</w:t>
      </w:r>
      <w:proofErr w:type="spellEnd"/>
      <w:r>
        <w:rPr>
          <w:b/>
          <w:bCs/>
          <w:lang w:val="en-US"/>
        </w:rPr>
        <w:t>, M.; Novotny, L. Optical Frequency Mixing at Coupled Gold Nanoparticles. Phys. Rev. Lett. 2007, 98, 026104.</w:t>
      </w:r>
    </w:p>
    <w:p w14:paraId="505D13FE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22. Harutyunyan, H.; Volpe, G.; </w:t>
      </w:r>
      <w:proofErr w:type="spellStart"/>
      <w:r>
        <w:rPr>
          <w:b/>
          <w:bCs/>
          <w:lang w:val="en-US"/>
        </w:rPr>
        <w:t>Quidant</w:t>
      </w:r>
      <w:proofErr w:type="spellEnd"/>
      <w:r>
        <w:rPr>
          <w:b/>
          <w:bCs/>
          <w:lang w:val="en-US"/>
        </w:rPr>
        <w:t>, R.; Novotny, L. Enhancing the Nonlinear Optical Response Using Multi-frequency Gold-Nanowire Antennas. Phys. Rev. Lett. 2012, 108, 217403.</w:t>
      </w:r>
    </w:p>
    <w:p w14:paraId="1DD4CB92" w14:textId="77777777" w:rsidR="001474A6" w:rsidRDefault="00773C74">
      <w:pPr>
        <w:rPr>
          <w:b/>
          <w:bCs/>
          <w:lang w:val="en-US"/>
        </w:rPr>
      </w:pPr>
      <w:hyperlink r:id="rId5">
        <w:r w:rsidR="0046089A">
          <w:rPr>
            <w:rStyle w:val="a7"/>
            <w:b/>
            <w:bCs/>
            <w:lang w:val="en-US"/>
          </w:rPr>
          <w:t>https://opg.optica.org/abstract.cfm?uri=oe-24-3-2360</w:t>
        </w:r>
      </w:hyperlink>
    </w:p>
    <w:p w14:paraId="079260C8" w14:textId="77777777" w:rsidR="001474A6" w:rsidRDefault="00773C74">
      <w:pPr>
        <w:rPr>
          <w:b/>
          <w:bCs/>
          <w:lang w:val="en-US"/>
        </w:rPr>
      </w:pPr>
      <w:hyperlink r:id="rId6">
        <w:r w:rsidR="0046089A">
          <w:rPr>
            <w:rStyle w:val="a7"/>
            <w:b/>
            <w:bCs/>
            <w:lang w:val="en-US"/>
          </w:rPr>
          <w:t>https://pubs.aip.org/aip/jap/article/115/8/083106/373503</w:t>
        </w:r>
      </w:hyperlink>
    </w:p>
    <w:p w14:paraId="159789BD" w14:textId="77777777" w:rsidR="001474A6" w:rsidRDefault="00773C74">
      <w:pPr>
        <w:rPr>
          <w:b/>
          <w:bCs/>
          <w:lang w:val="en-US"/>
        </w:rPr>
      </w:pPr>
      <w:hyperlink r:id="rId7">
        <w:r w:rsidR="0046089A">
          <w:rPr>
            <w:rStyle w:val="a7"/>
            <w:b/>
            <w:bCs/>
            <w:lang w:val="en-US"/>
          </w:rPr>
          <w:t>https://journals.aps.org/prb/abstract/10.1103/PhysRevB.93.035410</w:t>
        </w:r>
      </w:hyperlink>
    </w:p>
    <w:p w14:paraId="718BCA29" w14:textId="77777777" w:rsidR="001474A6" w:rsidRDefault="0046089A">
      <w:pPr>
        <w:rPr>
          <w:b/>
          <w:bCs/>
        </w:rPr>
      </w:pPr>
      <w:r>
        <w:rPr>
          <w:b/>
          <w:bCs/>
        </w:rPr>
        <w:t>]</w:t>
      </w:r>
    </w:p>
    <w:p w14:paraId="1AD77112" w14:textId="77777777" w:rsidR="001474A6" w:rsidRDefault="001474A6"/>
    <w:p w14:paraId="561981D9" w14:textId="77777777" w:rsidR="001474A6" w:rsidRDefault="0046089A">
      <w:r>
        <w:t xml:space="preserve">ВТ </w:t>
      </w:r>
      <w:proofErr w:type="spellStart"/>
      <w:r>
        <w:t>гарм</w:t>
      </w:r>
      <w:proofErr w:type="spellEnd"/>
      <w:r>
        <w:t xml:space="preserve"> </w:t>
      </w:r>
      <w:hyperlink r:id="rId8">
        <w:r>
          <w:rPr>
            <w:rStyle w:val="a7"/>
          </w:rPr>
          <w:t>https://pubs.aip.org/aip/jcp/article/152/9/094706/1063125</w:t>
        </w:r>
      </w:hyperlink>
    </w:p>
    <w:p w14:paraId="2B975885" w14:textId="77777777" w:rsidR="001474A6" w:rsidRDefault="00773C74">
      <w:hyperlink r:id="rId9">
        <w:r w:rsidR="0046089A">
          <w:rPr>
            <w:rStyle w:val="a7"/>
          </w:rPr>
          <w:t>https://journals.aps.org/prb/abstract/10.1103/PhysRevB.90.035412</w:t>
        </w:r>
      </w:hyperlink>
    </w:p>
    <w:p w14:paraId="682BB55D" w14:textId="77777777" w:rsidR="001474A6" w:rsidRDefault="001474A6"/>
    <w:p w14:paraId="6FD9A2D3" w14:textId="77777777" w:rsidR="001474A6" w:rsidRDefault="0046089A">
      <w:r>
        <w:t xml:space="preserve">ТР </w:t>
      </w:r>
      <w:proofErr w:type="spellStart"/>
      <w:r>
        <w:t>гарм</w:t>
      </w:r>
      <w:proofErr w:type="spellEnd"/>
      <w:r>
        <w:t xml:space="preserve"> </w:t>
      </w:r>
    </w:p>
    <w:p w14:paraId="0B486407" w14:textId="77777777" w:rsidR="001474A6" w:rsidRDefault="0046089A">
      <w:pPr>
        <w:spacing w:line="259" w:lineRule="auto"/>
      </w:pPr>
      <w:r>
        <w:br w:type="page"/>
      </w:r>
    </w:p>
    <w:p w14:paraId="29E6BB88" w14:textId="042F1FFC" w:rsidR="007626A0" w:rsidRPr="00771FBA" w:rsidRDefault="007626A0">
      <w:pPr>
        <w:rPr>
          <w:color w:val="70AD47" w:themeColor="accent6"/>
        </w:rPr>
      </w:pPr>
      <w:r w:rsidRPr="00771FBA">
        <w:rPr>
          <w:color w:val="70AD47" w:themeColor="accent6"/>
        </w:rPr>
        <w:lastRenderedPageBreak/>
        <w:t>ВВЕДЕНИЕ</w:t>
      </w:r>
    </w:p>
    <w:p w14:paraId="73321F41" w14:textId="6AAA7F68" w:rsidR="001474A6" w:rsidRDefault="0046089A">
      <w:r>
        <w:t xml:space="preserve">Металлические наноструктуры привлекают к себе большое внимание благодаря своим уникальным характеристикам, связанным с возможностью возбуждения в них </w:t>
      </w:r>
      <w:proofErr w:type="spellStart"/>
      <w:r>
        <w:t>плазмонных</w:t>
      </w:r>
      <w:proofErr w:type="spellEnd"/>
      <w:r>
        <w:t xml:space="preserve"> резонансов на частоте падающего на наночастицу электромагнитного излучения.</w:t>
      </w:r>
    </w:p>
    <w:p w14:paraId="64E60216" w14:textId="77777777" w:rsidR="001474A6" w:rsidRDefault="0046089A">
      <w:r>
        <w:t xml:space="preserve">Основной интерес к таким </w:t>
      </w:r>
      <w:proofErr w:type="spellStart"/>
      <w:r>
        <w:t>плазмонным</w:t>
      </w:r>
      <w:proofErr w:type="spellEnd"/>
      <w:r>
        <w:t xml:space="preserve"> наноструктурам обусловлен их уникальной способностью локализовать электромагнитные поля на нанометровых масштабах, существенно меньших дифракционного предела, что позволяет контролировать свойства света в размерах, намного меньших его длины волны.[</w:t>
      </w:r>
      <w:r>
        <w:rPr>
          <w:lang w:val="en-US"/>
        </w:rPr>
        <w:t>A</w:t>
      </w:r>
      <w:r>
        <w:t>]</w:t>
      </w:r>
    </w:p>
    <w:p w14:paraId="66EB0166" w14:textId="1EEAB9A6" w:rsidR="001474A6" w:rsidRDefault="0046089A">
      <w:r>
        <w:t xml:space="preserve">Благодаря </w:t>
      </w:r>
      <w:proofErr w:type="spellStart"/>
      <w:r>
        <w:t>плазмонным</w:t>
      </w:r>
      <w:proofErr w:type="spellEnd"/>
      <w:r>
        <w:t xml:space="preserve"> резонансам в наноструктурах происходит существенное увеличение локальной плотности энергии поля, что приводит к возможности проявления в них различного рода нелинейных эффектов, включающих</w:t>
      </w:r>
      <w:r w:rsidR="007626A0">
        <w:t xml:space="preserve"> </w:t>
      </w:r>
      <w:r w:rsidR="007626A0" w:rsidRPr="007626A0">
        <w:rPr>
          <w:color w:val="70AD47" w:themeColor="accent6"/>
        </w:rPr>
        <w:t>многофотонную люминесценцию</w:t>
      </w:r>
      <w:r w:rsidRPr="007626A0">
        <w:rPr>
          <w:color w:val="70AD47" w:themeColor="accent6"/>
        </w:rPr>
        <w:t xml:space="preserve"> </w:t>
      </w:r>
      <w:r w:rsidRPr="007626A0">
        <w:rPr>
          <w:b/>
          <w:bCs/>
          <w:color w:val="70AD47" w:themeColor="accent6"/>
        </w:rPr>
        <w:t>[],</w:t>
      </w:r>
      <w:r w:rsidR="007626A0" w:rsidRPr="007626A0">
        <w:rPr>
          <w:b/>
          <w:bCs/>
          <w:color w:val="70AD47" w:themeColor="accent6"/>
        </w:rPr>
        <w:t xml:space="preserve"> </w:t>
      </w:r>
      <w:proofErr w:type="spellStart"/>
      <w:r w:rsidR="007626A0" w:rsidRPr="007626A0">
        <w:rPr>
          <w:bCs/>
          <w:color w:val="70AD47" w:themeColor="accent6"/>
        </w:rPr>
        <w:t>четырехволновое</w:t>
      </w:r>
      <w:proofErr w:type="spellEnd"/>
      <w:r w:rsidR="007626A0" w:rsidRPr="007626A0">
        <w:rPr>
          <w:bCs/>
          <w:color w:val="70AD47" w:themeColor="accent6"/>
        </w:rPr>
        <w:t xml:space="preserve"> смешивание</w:t>
      </w:r>
      <w:r w:rsidRPr="007626A0">
        <w:rPr>
          <w:b/>
          <w:bCs/>
          <w:color w:val="70AD47" w:themeColor="accent6"/>
        </w:rPr>
        <w:t xml:space="preserve"> </w:t>
      </w:r>
      <w:r w:rsidRPr="007626A0">
        <w:rPr>
          <w:color w:val="70AD47" w:themeColor="accent6"/>
        </w:rPr>
        <w:t>[]</w:t>
      </w:r>
      <w:r w:rsidR="007626A0" w:rsidRPr="007626A0">
        <w:rPr>
          <w:color w:val="70AD47" w:themeColor="accent6"/>
        </w:rPr>
        <w:t>,</w:t>
      </w:r>
      <w:r>
        <w:t xml:space="preserve"> и генерацию гармоник оптического излучения [</w:t>
      </w:r>
      <w:proofErr w:type="spellStart"/>
      <w:r>
        <w:t>вт</w:t>
      </w:r>
      <w:proofErr w:type="spellEnd"/>
      <w:r>
        <w:t xml:space="preserve"> </w:t>
      </w:r>
      <w:proofErr w:type="spellStart"/>
      <w:r>
        <w:t>гарм</w:t>
      </w:r>
      <w:proofErr w:type="spellEnd"/>
      <w:r>
        <w:t xml:space="preserve"> </w:t>
      </w:r>
      <w:proofErr w:type="spellStart"/>
      <w:r>
        <w:t>тр</w:t>
      </w:r>
      <w:proofErr w:type="spellEnd"/>
      <w:r>
        <w:t xml:space="preserve"> </w:t>
      </w:r>
      <w:proofErr w:type="spellStart"/>
      <w:r>
        <w:t>гарм</w:t>
      </w:r>
      <w:proofErr w:type="spellEnd"/>
      <w:r>
        <w:t>].</w:t>
      </w:r>
    </w:p>
    <w:p w14:paraId="60A1861C" w14:textId="77777777" w:rsidR="001474A6" w:rsidRDefault="0046089A">
      <w:r>
        <w:t>В частности, явление генерации второй гармоники в наноструктурах, возможность возникновения которого в ограниченных металлических объектах была впервые обнаружена экспериментально и объяснена теоретически в работах [5, 6], является в настоящее время основой для широкого круга практических применений, включающего диагностику наноструктур [см эксп обзор] и оптических сред [7] ….</w:t>
      </w:r>
    </w:p>
    <w:p w14:paraId="2FA2DB21" w14:textId="77777777" w:rsidR="001474A6" w:rsidRDefault="0046089A">
      <w:r>
        <w:t xml:space="preserve">Важным фактором, благодаря которому наноструктуры и основанные на них метаматериалы могут служить эффективным инструментом для генерации второй гармоники, является возможность резонансного усиления поля не только основной гармоники оптического излучения, но и его второй гармоники при совпадении удвоенной частоты с собственной частотой другой </w:t>
      </w:r>
      <w:proofErr w:type="spellStart"/>
      <w:r>
        <w:t>плазмонной</w:t>
      </w:r>
      <w:proofErr w:type="spellEnd"/>
      <w:r>
        <w:t xml:space="preserve"> модой наноструктуры. </w:t>
      </w:r>
    </w:p>
    <w:p w14:paraId="15BD5D9A" w14:textId="77777777" w:rsidR="001474A6" w:rsidRDefault="0046089A">
      <w:r>
        <w:t xml:space="preserve">К настоящему моменту явление двойного </w:t>
      </w:r>
      <w:proofErr w:type="spellStart"/>
      <w:r>
        <w:t>плазмонного</w:t>
      </w:r>
      <w:proofErr w:type="spellEnd"/>
      <w:r>
        <w:t xml:space="preserve"> резонанса исследовалось фактически только для наноструктур обеспечивающих одновременное возбуждение двух различных поверхностных плазмонов наночастицы на основной и удвоенной гармониках падающего излучения.</w:t>
      </w:r>
    </w:p>
    <w:p w14:paraId="1CBCA3E8" w14:textId="6FD025CA" w:rsidR="001474A6" w:rsidRDefault="0046089A">
      <w:pPr>
        <w:rPr>
          <w:b/>
          <w:bCs/>
          <w:color w:val="FF0000"/>
        </w:rPr>
      </w:pPr>
      <w:r>
        <w:t xml:space="preserve">Однако в общем случае в наноструктуре, помимо поверхностных плазмонов в наноструктурах могут существовать и объемные плазмоны [], которые как известно, могут сильно проявлять себя в случае, когда источник возбуждения коллективных электронных колебаний находится внутри наночастицы и характеризуется неоднородным распределением поля, что, например имеет место в задачах </w:t>
      </w:r>
      <w:r>
        <w:rPr>
          <w:lang w:val="en-US"/>
        </w:rPr>
        <w:t>EELS</w:t>
      </w:r>
      <w:r w:rsidR="005A6D99">
        <w:t xml:space="preserve"> </w:t>
      </w:r>
      <w:r w:rsidR="005A6D99" w:rsidRPr="005A6D99">
        <w:rPr>
          <w:color w:val="70AD47" w:themeColor="accent6"/>
        </w:rPr>
        <w:t xml:space="preserve">(англ. </w:t>
      </w:r>
      <w:proofErr w:type="spellStart"/>
      <w:r w:rsidR="005A6D99" w:rsidRPr="005A6D99">
        <w:rPr>
          <w:color w:val="70AD47" w:themeColor="accent6"/>
        </w:rPr>
        <w:t>electron</w:t>
      </w:r>
      <w:proofErr w:type="spellEnd"/>
      <w:r w:rsidR="005A6D99" w:rsidRPr="005A6D99">
        <w:rPr>
          <w:color w:val="70AD47" w:themeColor="accent6"/>
        </w:rPr>
        <w:t xml:space="preserve"> </w:t>
      </w:r>
      <w:proofErr w:type="spellStart"/>
      <w:r w:rsidR="005A6D99" w:rsidRPr="005A6D99">
        <w:rPr>
          <w:color w:val="70AD47" w:themeColor="accent6"/>
        </w:rPr>
        <w:t>energy</w:t>
      </w:r>
      <w:proofErr w:type="spellEnd"/>
      <w:r w:rsidR="005A6D99" w:rsidRPr="005A6D99">
        <w:rPr>
          <w:color w:val="70AD47" w:themeColor="accent6"/>
        </w:rPr>
        <w:t xml:space="preserve"> </w:t>
      </w:r>
      <w:proofErr w:type="spellStart"/>
      <w:r w:rsidR="005A6D99" w:rsidRPr="005A6D99">
        <w:rPr>
          <w:color w:val="70AD47" w:themeColor="accent6"/>
        </w:rPr>
        <w:t>loss</w:t>
      </w:r>
      <w:proofErr w:type="spellEnd"/>
      <w:r w:rsidR="005A6D99" w:rsidRPr="005A6D99">
        <w:rPr>
          <w:color w:val="70AD47" w:themeColor="accent6"/>
        </w:rPr>
        <w:t xml:space="preserve"> </w:t>
      </w:r>
      <w:proofErr w:type="spellStart"/>
      <w:r w:rsidR="005A6D99" w:rsidRPr="005A6D99">
        <w:rPr>
          <w:color w:val="70AD47" w:themeColor="accent6"/>
        </w:rPr>
        <w:t>spectroscopy</w:t>
      </w:r>
      <w:proofErr w:type="spellEnd"/>
      <w:r w:rsidR="005A6D99" w:rsidRPr="005A6D99">
        <w:rPr>
          <w:color w:val="70AD47" w:themeColor="accent6"/>
        </w:rPr>
        <w:t>)</w:t>
      </w:r>
      <w:r>
        <w:t xml:space="preserve"> спектроскопии при рассеянии пучков заряженных частиц </w:t>
      </w:r>
      <w:proofErr w:type="spellStart"/>
      <w:r>
        <w:t>наностркутурами</w:t>
      </w:r>
      <w:proofErr w:type="spellEnd"/>
      <w:r>
        <w:t xml:space="preserve">. </w:t>
      </w:r>
      <w:r>
        <w:br/>
      </w:r>
      <w:r w:rsidRPr="005A6D99">
        <w:rPr>
          <w:b/>
          <w:bCs/>
          <w:color w:val="FF0000"/>
        </w:rPr>
        <w:t>ОБЪЕМНЫЕ ПЛАЗМОНЫ – что такое, пространственная дисперсия</w:t>
      </w:r>
    </w:p>
    <w:p w14:paraId="1F46B743" w14:textId="36103F55" w:rsidR="005A6D99" w:rsidRPr="005A6D99" w:rsidRDefault="005A6D99">
      <w:pPr>
        <w:rPr>
          <w:b/>
          <w:bCs/>
          <w:color w:val="70AD47" w:themeColor="accent6"/>
        </w:rPr>
      </w:pPr>
      <w:r w:rsidRPr="005A6D99">
        <w:rPr>
          <w:b/>
          <w:bCs/>
          <w:color w:val="70AD47" w:themeColor="accent6"/>
        </w:rPr>
        <w:lastRenderedPageBreak/>
        <w:t>Объёмные плазмоны </w:t>
      </w:r>
      <w:r>
        <w:rPr>
          <w:b/>
          <w:bCs/>
          <w:color w:val="70AD47" w:themeColor="accent6"/>
        </w:rPr>
        <w:t>-</w:t>
      </w:r>
      <w:r w:rsidRPr="005A6D99">
        <w:rPr>
          <w:b/>
          <w:bCs/>
          <w:color w:val="70AD47" w:themeColor="accent6"/>
        </w:rPr>
        <w:t xml:space="preserve"> коллективные колебания свободных электронов в объёме металла или другого материала с высокой концентрацией носителей заряда. Они возникают как квантовые квазичастицы (плазмоны) и описывают продольные колебания электронной плотности относительно ионного остова.</w:t>
      </w:r>
    </w:p>
    <w:p w14:paraId="307D0B8F" w14:textId="77777777" w:rsidR="005A6D99" w:rsidRDefault="005A6D99"/>
    <w:p w14:paraId="7899393D" w14:textId="770B2753" w:rsidR="001474A6" w:rsidRDefault="0046089A">
      <w:r>
        <w:t>Подобная ситуация может возникнуть и в задачах генерации второй гармоники, когда обусловленные нелинейностью токи второй гармоники, возбуждаемые при резонансе поверхностного плазмона на основной гармонике</w:t>
      </w:r>
      <w:r w:rsidR="00686C13">
        <w:t>,</w:t>
      </w:r>
      <w:r>
        <w:t xml:space="preserve"> могут возбуждать объемные </w:t>
      </w:r>
      <w:proofErr w:type="spellStart"/>
      <w:r>
        <w:t>плазмонные</w:t>
      </w:r>
      <w:proofErr w:type="spellEnd"/>
      <w:r>
        <w:t xml:space="preserve"> колебания в наночастице. Данный эффект может иметь место, например, в случае наноструктуры простейшей формы, металлической сферической наночастицы, однако к настоящему моменту двойные </w:t>
      </w:r>
      <w:proofErr w:type="spellStart"/>
      <w:r>
        <w:t>плазмонные</w:t>
      </w:r>
      <w:proofErr w:type="spellEnd"/>
      <w:r>
        <w:t xml:space="preserve"> резонансы такого типа фактически не были исследованы и являются предметом исследования данной работы.</w:t>
      </w:r>
    </w:p>
    <w:p w14:paraId="25819947" w14:textId="0838504D" w:rsidR="005A6D99" w:rsidRPr="005A6D99" w:rsidRDefault="005A6D99">
      <w:pPr>
        <w:rPr>
          <w:color w:val="70AD47" w:themeColor="accent6"/>
        </w:rPr>
      </w:pPr>
      <w:r w:rsidRPr="005A6D99">
        <w:rPr>
          <w:color w:val="70AD47" w:themeColor="accent6"/>
        </w:rPr>
        <w:t>ОСНОВНОЙ ТЕКСТ</w:t>
      </w:r>
    </w:p>
    <w:p w14:paraId="7B7BF6ED" w14:textId="5DBCD63C" w:rsidR="00771FBA" w:rsidRDefault="0046089A">
      <w:pPr>
        <w:pBdr>
          <w:bottom w:val="single" w:sz="6" w:space="1" w:color="000000"/>
        </w:pBdr>
        <w:jc w:val="both"/>
      </w:pPr>
      <w:r>
        <w:t>В данной работе на основании гидродинамической модели [] исследуются нелинейные эффекты</w:t>
      </w:r>
      <w:r w:rsidR="00686C13">
        <w:t>,</w:t>
      </w:r>
      <w:r>
        <w:t xml:space="preserve"> обусловленные возникновением резонансов объемных плазмонов на удвоенной частоте в условиях, когда частота основной гармоники наночастицы также испытывает резонанс и совпадает с частотой дипольного </w:t>
      </w:r>
      <w:proofErr w:type="spellStart"/>
      <w:r>
        <w:t>поверностного</w:t>
      </w:r>
      <w:proofErr w:type="spellEnd"/>
      <w:r>
        <w:t xml:space="preserve"> плазмона наночастицы (хорошо известный резонанс Ми). Работа организована следующим образом: вначале на основе уравнений гидродинамики с использованием метода последовательных приближений сформулированы краевые задачи, описывающие в квазистатическом приближении пространственное распределение поля и плотности заряда на основной и удвоенной гармониках внешнего поля в малой металлической наночастице произвольной формы. Далее описано решение этих задач применительно к случаю сферической наночастицы, и исследованы </w:t>
      </w:r>
      <w:proofErr w:type="gramStart"/>
      <w:r>
        <w:t>условия</w:t>
      </w:r>
      <w:proofErr w:type="gramEnd"/>
      <w:r>
        <w:t xml:space="preserve"> отвечающие условию возбуждения в наночастицах </w:t>
      </w:r>
      <w:r w:rsidRPr="00771FBA">
        <w:rPr>
          <w:color w:val="FF0000"/>
          <w:lang w:val="en-US"/>
        </w:rPr>
        <w:t>coupled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resonances</w:t>
      </w:r>
      <w:r w:rsidR="00771FBA">
        <w:rPr>
          <w:color w:val="FF0000"/>
        </w:rPr>
        <w:t xml:space="preserve"> </w:t>
      </w:r>
      <w:r w:rsidR="00771FBA" w:rsidRPr="00771FBA">
        <w:rPr>
          <w:color w:val="70AD47" w:themeColor="accent6"/>
        </w:rPr>
        <w:t>двойных резонансов</w:t>
      </w:r>
      <w:r>
        <w:t xml:space="preserve"> </w:t>
      </w:r>
      <w:r>
        <w:rPr>
          <w:highlight w:val="green"/>
        </w:rPr>
        <w:t>типа поверхностный плазмон – объемный плазмон.</w:t>
      </w:r>
      <w:r>
        <w:t xml:space="preserve"> После приводятся результаты расчетов, иллюстрирующие влияние исследуемых резонансов на частотные зависимости сечения поглощения сферических наночастиц и сформулированы основные результаты работы.</w:t>
      </w:r>
    </w:p>
    <w:p w14:paraId="60653BAC" w14:textId="3C562DEE" w:rsidR="00771FBA" w:rsidRPr="00771FBA" w:rsidRDefault="00771FBA">
      <w:pPr>
        <w:jc w:val="both"/>
        <w:rPr>
          <w:color w:val="70AD47" w:themeColor="accent6"/>
        </w:rPr>
      </w:pPr>
      <w:r w:rsidRPr="00771FBA">
        <w:rPr>
          <w:color w:val="70AD47" w:themeColor="accent6"/>
        </w:rPr>
        <w:t>ПОСТАНОВКА ЗАДАЧИ</w:t>
      </w:r>
    </w:p>
    <w:p w14:paraId="242C91D4" w14:textId="77777777" w:rsidR="00E020EB" w:rsidRDefault="0046089A">
      <w:pPr>
        <w:jc w:val="both"/>
      </w:pPr>
      <w:r>
        <w:t xml:space="preserve">Рассмотрим металлическую наночастицу произвольной формы, находящуюся в заданном внешнем поле падающей электромагнитной волны. </w:t>
      </w:r>
    </w:p>
    <w:p w14:paraId="4A0EFF24" w14:textId="5403C42C" w:rsidR="00E020EB" w:rsidRDefault="00E020EB">
      <w:pPr>
        <w:jc w:val="both"/>
        <w:rPr>
          <w:color w:val="FF0000"/>
        </w:rPr>
      </w:pPr>
    </w:p>
    <w:p w14:paraId="133C66D0" w14:textId="47EC29DE" w:rsidR="001474A6" w:rsidRPr="00771FBA" w:rsidRDefault="0046089A">
      <w:pPr>
        <w:jc w:val="both"/>
        <w:rPr>
          <w:color w:val="70AD47" w:themeColor="accent6"/>
        </w:rPr>
      </w:pPr>
      <w:r w:rsidRPr="00771FBA">
        <w:rPr>
          <w:color w:val="FF0000"/>
        </w:rPr>
        <w:t xml:space="preserve">Про </w:t>
      </w:r>
      <w:r w:rsidRPr="00771FBA">
        <w:rPr>
          <w:color w:val="FF0000"/>
          <w:lang w:val="en-US"/>
        </w:rPr>
        <w:t>N</w:t>
      </w:r>
      <w:r w:rsidRPr="00771FBA">
        <w:rPr>
          <w:color w:val="FF0000"/>
        </w:rPr>
        <w:t xml:space="preserve">0 </w:t>
      </w:r>
      <w:r w:rsidRPr="00771FBA">
        <w:rPr>
          <w:color w:val="FF0000"/>
          <w:lang w:val="en-US"/>
        </w:rPr>
        <w:t>eps</w:t>
      </w:r>
      <w:r w:rsidRPr="00771FBA">
        <w:rPr>
          <w:color w:val="FF0000"/>
        </w:rPr>
        <w:t>_</w:t>
      </w:r>
      <w:r w:rsidRPr="00771FBA">
        <w:rPr>
          <w:color w:val="FF0000"/>
          <w:lang w:val="en-US"/>
        </w:rPr>
        <w:t>inf</w:t>
      </w:r>
      <w:r w:rsidRPr="00771FBA">
        <w:rPr>
          <w:color w:val="FF0000"/>
        </w:rPr>
        <w:t>.</w:t>
      </w:r>
      <w:r w:rsidR="00771FBA">
        <w:t xml:space="preserve"> </w:t>
      </w:r>
      <w:r w:rsidR="00771FBA" w:rsidRPr="00771FBA">
        <w:rPr>
          <w:color w:val="70AD47" w:themeColor="accent6"/>
        </w:rPr>
        <w:t xml:space="preserve">Предполагается, что в отсутствие внешнего поля электроны, как и ионы, распределены равномерно по объему частицы с плотностью </w:t>
      </w:r>
      <w:r w:rsidR="00771FBA" w:rsidRPr="00771FBA">
        <w:rPr>
          <w:color w:val="70AD47" w:themeColor="accent6"/>
          <w:lang w:val="en-US"/>
        </w:rPr>
        <w:t>N</w:t>
      </w:r>
      <w:r w:rsidR="00771FBA" w:rsidRPr="00771FBA">
        <w:rPr>
          <w:color w:val="70AD47" w:themeColor="accent6"/>
        </w:rPr>
        <w:t xml:space="preserve">_0, </w:t>
      </w:r>
      <w:r w:rsidR="00771FBA" w:rsidRPr="00771FBA">
        <w:rPr>
          <w:color w:val="70AD47" w:themeColor="accent6"/>
        </w:rPr>
        <w:lastRenderedPageBreak/>
        <w:t xml:space="preserve">а диэлектрическая проницаемость ионного остова материала частицы равна </w:t>
      </w:r>
      <w:r w:rsidR="00771FBA" w:rsidRPr="00771FBA">
        <w:rPr>
          <w:color w:val="70AD47" w:themeColor="accent6"/>
          <w:lang w:val="en-US"/>
        </w:rPr>
        <w:t>eps</w:t>
      </w:r>
      <w:r w:rsidR="00771FBA" w:rsidRPr="00771FBA">
        <w:rPr>
          <w:color w:val="70AD47" w:themeColor="accent6"/>
        </w:rPr>
        <w:t>_</w:t>
      </w:r>
      <w:r w:rsidR="00771FBA" w:rsidRPr="00771FBA">
        <w:rPr>
          <w:color w:val="70AD47" w:themeColor="accent6"/>
          <w:lang w:val="en-US"/>
        </w:rPr>
        <w:t>inf</w:t>
      </w:r>
      <w:r w:rsidR="00771FBA" w:rsidRPr="00771FBA">
        <w:rPr>
          <w:color w:val="70AD47" w:themeColor="accent6"/>
        </w:rPr>
        <w:t xml:space="preserve">. </w:t>
      </w:r>
    </w:p>
    <w:p w14:paraId="0F40ECAB" w14:textId="01E187F9" w:rsidR="001474A6" w:rsidRPr="00771FBA" w:rsidRDefault="0046089A">
      <w:pPr>
        <w:jc w:val="both"/>
      </w:pPr>
      <w:r w:rsidRPr="00771FBA">
        <w:t xml:space="preserve"> </w:t>
      </w:r>
      <w:r>
        <w:t>Как</w:t>
      </w:r>
      <w:r w:rsidRPr="00771FBA">
        <w:t xml:space="preserve"> </w:t>
      </w:r>
      <w:r>
        <w:t>известно</w:t>
      </w:r>
      <w:r w:rsidRPr="00771FBA">
        <w:t xml:space="preserve">, </w:t>
      </w:r>
      <w:r w:rsidRPr="00771FBA">
        <w:rPr>
          <w:color w:val="FF0000"/>
          <w:lang w:val="en-US"/>
        </w:rPr>
        <w:t>Comprehensive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description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of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the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nonlinear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carrier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dynamics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in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quasi</w:t>
      </w:r>
      <w:r w:rsidRPr="00771FBA">
        <w:rPr>
          <w:color w:val="FF0000"/>
        </w:rPr>
        <w:t>-</w:t>
      </w:r>
      <w:r w:rsidRPr="00771FBA">
        <w:rPr>
          <w:color w:val="FF0000"/>
          <w:lang w:val="en-US"/>
        </w:rPr>
        <w:t>classical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approach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can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be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established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considering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set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of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hydrodynamic</w:t>
      </w:r>
      <w:r w:rsidRPr="00771FBA">
        <w:rPr>
          <w:color w:val="FF0000"/>
        </w:rPr>
        <w:t>-</w:t>
      </w:r>
      <w:r w:rsidRPr="00771FBA">
        <w:rPr>
          <w:color w:val="FF0000"/>
          <w:lang w:val="en-US"/>
        </w:rPr>
        <w:t>type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equations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treating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the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electron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plasma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as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compressible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charge</w:t>
      </w:r>
      <w:r w:rsidRPr="00771FBA">
        <w:rPr>
          <w:color w:val="FF0000"/>
        </w:rPr>
        <w:t xml:space="preserve"> ﬂ</w:t>
      </w:r>
      <w:proofErr w:type="spellStart"/>
      <w:r w:rsidRPr="00771FBA">
        <w:rPr>
          <w:color w:val="FF0000"/>
          <w:lang w:val="en-US"/>
        </w:rPr>
        <w:t>uid</w:t>
      </w:r>
      <w:proofErr w:type="spellEnd"/>
      <w:r w:rsidRPr="00771FBA">
        <w:rPr>
          <w:color w:val="FF0000"/>
        </w:rPr>
        <w:t>:</w:t>
      </w:r>
      <w:r w:rsidR="00771FBA" w:rsidRPr="00771FBA">
        <w:rPr>
          <w:color w:val="FF0000"/>
        </w:rPr>
        <w:t xml:space="preserve"> </w:t>
      </w:r>
      <w:r w:rsidR="00771FBA" w:rsidRPr="00771FBA">
        <w:rPr>
          <w:color w:val="70AD47" w:themeColor="accent6"/>
        </w:rPr>
        <w:t>описание нелинейной динамики носителей в квазиклассическом подходе может быть получено с помощью набора уравнений гидродинамического типа, рассматривающих электронную плазму как сжимаемую заряженную жидкость</w:t>
      </w:r>
      <w:r w:rsidR="00771FBA" w:rsidRPr="00771FBA">
        <w:rPr>
          <w:color w:val="FF0000"/>
        </w:rPr>
        <w:t xml:space="preserve"> </w:t>
      </w:r>
      <w:r w:rsidRPr="00771FBA">
        <w:t>[</w:t>
      </w:r>
      <w:r>
        <w:t>ОБЗ</w:t>
      </w:r>
      <w:r w:rsidRPr="00771FBA">
        <w:t>_</w:t>
      </w:r>
      <w:r>
        <w:t>ТЕОР</w:t>
      </w:r>
      <w:r w:rsidRPr="00771FBA">
        <w:t>_</w:t>
      </w:r>
      <w:r>
        <w:t>ГД</w:t>
      </w:r>
      <w:r w:rsidRPr="00771FBA">
        <w:t xml:space="preserve"> _12–15]. </w:t>
      </w:r>
    </w:p>
    <w:p w14:paraId="48C40AF3" w14:textId="77777777" w:rsidR="001474A6" w:rsidRDefault="0046089A">
      <w:pPr>
        <w:jc w:val="both"/>
      </w:pPr>
      <w:r>
        <w:t>При дальнейшем построении физической модели исследуемых двойных резонансов будем считать выполненными ряд приближений, а именно будем предполагать, что (</w:t>
      </w:r>
      <w:proofErr w:type="spellStart"/>
      <w:r>
        <w:rPr>
          <w:lang w:val="en-US"/>
        </w:rPr>
        <w:t>i</w:t>
      </w:r>
      <w:proofErr w:type="spellEnd"/>
      <w:r>
        <w:t>) размеры наночастицы малы по сравнению с длиной падающей волны и допустимо квазистатическое приближение для описания поля внутри и вблизи поверхности наночастицы (</w:t>
      </w:r>
      <w:r>
        <w:rPr>
          <w:lang w:val="en-US"/>
        </w:rPr>
        <w:t>ii</w:t>
      </w:r>
      <w:r>
        <w:t>) вклад в магнитную составляющую силы Лоренца, действующую на электроны в металле пренебрежимо мал и (</w:t>
      </w:r>
      <w:r>
        <w:rPr>
          <w:lang w:val="en-US"/>
        </w:rPr>
        <w:t>iii</w:t>
      </w:r>
      <w:r>
        <w:t xml:space="preserve">) электроны находятся внутри бесконечно глубокой потенциальной ямы, то есть будем пренебрегать возможностью возникновения </w:t>
      </w:r>
      <w:r>
        <w:rPr>
          <w:lang w:val="en-US"/>
        </w:rPr>
        <w:t>spill</w:t>
      </w:r>
      <w:r>
        <w:t>-</w:t>
      </w:r>
      <w:r>
        <w:rPr>
          <w:lang w:val="en-US"/>
        </w:rPr>
        <w:t>out</w:t>
      </w:r>
      <w:r>
        <w:t xml:space="preserve"> </w:t>
      </w:r>
      <w:r>
        <w:rPr>
          <w:lang w:val="en-US"/>
        </w:rPr>
        <w:t>effect</w:t>
      </w:r>
      <w:r>
        <w:t xml:space="preserve"> [] на границах частицы. В месте с условиями применимости </w:t>
      </w:r>
      <w:proofErr w:type="spellStart"/>
      <w:r>
        <w:t>гидродинамичсекого</w:t>
      </w:r>
      <w:proofErr w:type="spellEnd"/>
      <w:r>
        <w:t xml:space="preserve"> подхода указанные выше условия несколько сужают область применимости рассматриваемой модели </w:t>
      </w:r>
    </w:p>
    <w:p w14:paraId="23E4FA46" w14:textId="77777777" w:rsidR="001474A6" w:rsidRDefault="0046089A">
      <w:pPr>
        <w:jc w:val="both"/>
        <w:rPr>
          <w:b/>
          <w:bCs/>
        </w:rPr>
      </w:pPr>
      <w:r>
        <w:rPr>
          <w:b/>
          <w:bCs/>
        </w:rPr>
        <w:t xml:space="preserve">Уравнения </w:t>
      </w:r>
    </w:p>
    <w:p w14:paraId="22621BC9" w14:textId="442A0112" w:rsidR="001474A6" w:rsidRDefault="0046089A">
      <w:r>
        <w:t xml:space="preserve">Однако поскольку ранее двойные </w:t>
      </w:r>
      <w:proofErr w:type="spellStart"/>
      <w:r>
        <w:t>плазмонные</w:t>
      </w:r>
      <w:proofErr w:type="spellEnd"/>
      <w:r>
        <w:t xml:space="preserve"> резонансы, обсуждаемые здесь, фактически не </w:t>
      </w:r>
      <w:r w:rsidR="00281036">
        <w:t>исследовались</w:t>
      </w:r>
      <w:r>
        <w:t xml:space="preserve"> такое упрощение модели представляется оправданным первым шагом на пути построения более точной модели. Таким образом, с учетом указанных предположений, нелинейная динамика коллективных электронных колебаний в наночастице подчиняется системе уравнений </w:t>
      </w:r>
    </w:p>
    <w:p w14:paraId="1A77F06D" w14:textId="69EF2F8D" w:rsidR="00771FBA" w:rsidRDefault="00771FBA">
      <w:r w:rsidRPr="00771FBA">
        <w:rPr>
          <w:noProof/>
        </w:rPr>
        <w:drawing>
          <wp:inline distT="0" distB="0" distL="0" distR="0" wp14:anchorId="180022D2" wp14:editId="584489A9">
            <wp:extent cx="3581900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A505" w14:textId="77777777" w:rsidR="001474A6" w:rsidRDefault="0046089A">
      <w:proofErr w:type="spellStart"/>
      <w:r>
        <w:t>Чччч</w:t>
      </w:r>
      <w:proofErr w:type="spellEnd"/>
    </w:p>
    <w:p w14:paraId="675770BA" w14:textId="4F6A277E" w:rsidR="001474A6" w:rsidRPr="00771FBA" w:rsidRDefault="0046089A">
      <w:pPr>
        <w:rPr>
          <w:color w:val="70AD47" w:themeColor="accent6"/>
        </w:rPr>
      </w:pPr>
      <w:r w:rsidRPr="00771FBA">
        <w:rPr>
          <w:color w:val="70AD47" w:themeColor="accent6"/>
        </w:rPr>
        <w:t>Где</w:t>
      </w:r>
      <w:r w:rsidR="00771FBA" w:rsidRPr="00771FBA">
        <w:rPr>
          <w:color w:val="70AD47" w:themeColor="accent6"/>
        </w:rPr>
        <w:t xml:space="preserve"> </w:t>
      </w:r>
      <w:r w:rsidR="00771FBA" w:rsidRPr="00771FBA">
        <w:rPr>
          <w:rFonts w:ascii="Cambria Math" w:hAnsi="Cambria Math" w:cs="Cambria Math"/>
          <w:color w:val="70AD47" w:themeColor="accent6"/>
        </w:rPr>
        <w:t>𝑣⃗</w:t>
      </w:r>
      <w:r w:rsidR="00771FBA" w:rsidRPr="00771FBA">
        <w:rPr>
          <w:color w:val="70AD47" w:themeColor="accent6"/>
        </w:rPr>
        <w:t xml:space="preserve"> – скорость электронов, </w:t>
      </w:r>
      <w:r w:rsidR="00771FBA" w:rsidRPr="00771FBA">
        <w:rPr>
          <w:rFonts w:ascii="Cambria Math" w:hAnsi="Cambria Math" w:cs="Cambria Math"/>
          <w:color w:val="70AD47" w:themeColor="accent6"/>
        </w:rPr>
        <w:t>𝑁</w:t>
      </w:r>
      <w:r w:rsidR="00771FBA" w:rsidRPr="00771FBA">
        <w:rPr>
          <w:color w:val="70AD47" w:themeColor="accent6"/>
        </w:rPr>
        <w:t xml:space="preserve"> – возмущённая концентрация электронов, ⅇ и m – заряд и масса электрона, </w:t>
      </w:r>
      <w:r w:rsidR="00771FBA" w:rsidRPr="00771FBA">
        <w:rPr>
          <w:rFonts w:ascii="Cambria Math" w:hAnsi="Cambria Math" w:cs="Cambria Math"/>
          <w:color w:val="70AD47" w:themeColor="accent6"/>
        </w:rPr>
        <w:t>𝜈</w:t>
      </w:r>
      <w:r w:rsidR="00771FBA" w:rsidRPr="00771FBA">
        <w:rPr>
          <w:color w:val="70AD47" w:themeColor="accent6"/>
        </w:rPr>
        <w:t xml:space="preserve"> – эффективная частота соударений электронов.</w:t>
      </w:r>
    </w:p>
    <w:p w14:paraId="208C8D74" w14:textId="62A53C96" w:rsidR="001474A6" w:rsidRDefault="0046089A">
      <w:r>
        <w:t xml:space="preserve">ЧЧЧ </w:t>
      </w:r>
      <w:r>
        <w:rPr>
          <w:lang w:val="en-US"/>
        </w:rPr>
        <w:t>p</w:t>
      </w:r>
      <w:r>
        <w:t xml:space="preserve"> – давление электронов. Конкретный вид выражения для последней из перечисленных величин, фактически отвечающей за </w:t>
      </w:r>
      <w:proofErr w:type="spellStart"/>
      <w:r>
        <w:t>нелокальность</w:t>
      </w:r>
      <w:proofErr w:type="spellEnd"/>
      <w:r>
        <w:t xml:space="preserve"> поляризационного отклика плазмы, являлся предметом множества дискуссий и в настоящее время существует </w:t>
      </w:r>
      <w:proofErr w:type="gramStart"/>
      <w:r>
        <w:t>широкий спектр моделей</w:t>
      </w:r>
      <w:proofErr w:type="gramEnd"/>
      <w:r>
        <w:t xml:space="preserve"> описывающих эту </w:t>
      </w:r>
      <w:r>
        <w:lastRenderedPageBreak/>
        <w:t xml:space="preserve">величину применительно к различным условиям. В рамках описываемой простой модели мы используем следующе феноменологическое уравнение состояния </w:t>
      </w:r>
    </w:p>
    <w:p w14:paraId="4B1B549C" w14:textId="09F424F6" w:rsidR="001474A6" w:rsidRDefault="0046089A">
      <w:proofErr w:type="spellStart"/>
      <w:r>
        <w:t>Ччч</w:t>
      </w:r>
      <w:proofErr w:type="spellEnd"/>
      <w:r w:rsidR="00771FBA">
        <w:t xml:space="preserve"> </w:t>
      </w:r>
      <w:r w:rsidR="00E020EB" w:rsidRPr="00E020EB">
        <w:rPr>
          <w:noProof/>
        </w:rPr>
        <w:drawing>
          <wp:inline distT="0" distB="0" distL="0" distR="0" wp14:anchorId="763A97CD" wp14:editId="40DE9AA5">
            <wp:extent cx="3334215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CAB9" w14:textId="77777777" w:rsidR="001474A6" w:rsidRDefault="0046089A">
      <w:r>
        <w:t>отвечающее исследуемому здесь случаю быстрого адиабатического процесса и позволяющее получить из описанных выше уравнений () известный закон дисперсии как для поверхностных, так и для объемных плазмонов.</w:t>
      </w:r>
    </w:p>
    <w:p w14:paraId="3644B08A" w14:textId="043568D7" w:rsidR="00E020EB" w:rsidRDefault="0046089A">
      <w:r>
        <w:t xml:space="preserve">Следуя обычной процедуре метода возмущений, применяемого в случае слабой нелинейности, представим в уравнениях неизвестные плотность электронов, скорость и напряженность поля в виде суммы гармонических слагаемых, изменяющихся на частоте, кратной частоте внешнего поля. </w:t>
      </w:r>
    </w:p>
    <w:p w14:paraId="5F3444FB" w14:textId="1003B742" w:rsidR="001474A6" w:rsidRDefault="0046089A">
      <w:r>
        <w:t xml:space="preserve">Далее сопоставляя в получившихся уравнениях величины </w:t>
      </w:r>
      <w:r w:rsidR="000A7E02">
        <w:t>одинакового</w:t>
      </w:r>
      <w:r>
        <w:t xml:space="preserve"> порядка малости, получаем следующие уравнения, определяющие комплексные амплитуды плотности заряда и потенциала поля для основной (</w:t>
      </w:r>
      <w:r>
        <w:rPr>
          <w:lang w:val="en-US"/>
        </w:rPr>
        <w:t>w</w:t>
      </w:r>
      <w:r>
        <w:t>1==</w:t>
      </w:r>
      <w:r>
        <w:rPr>
          <w:lang w:val="en-US"/>
        </w:rPr>
        <w:t>w</w:t>
      </w:r>
      <w:r>
        <w:t>) и удвоенной (</w:t>
      </w:r>
      <w:r>
        <w:rPr>
          <w:lang w:val="en-US"/>
        </w:rPr>
        <w:t>w</w:t>
      </w:r>
      <w:r>
        <w:t>2==2</w:t>
      </w:r>
      <w:r>
        <w:rPr>
          <w:lang w:val="en-US"/>
        </w:rPr>
        <w:t>w</w:t>
      </w:r>
      <w:r>
        <w:t>) гармоник.</w:t>
      </w:r>
    </w:p>
    <w:p w14:paraId="799A0676" w14:textId="5EE08636" w:rsidR="00E020EB" w:rsidRDefault="00E020EB"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75E8AC71" wp14:editId="7A2C712B">
            <wp:extent cx="4553585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3D14" w14:textId="77777777" w:rsidR="001474A6" w:rsidRDefault="0046089A">
      <w:r>
        <w:t>ЧЧЧ</w:t>
      </w:r>
    </w:p>
    <w:p w14:paraId="0EFF17B0" w14:textId="58042075" w:rsidR="001474A6" w:rsidRDefault="0046089A">
      <w:r>
        <w:t xml:space="preserve">Введенные в уравнениях обозначения ЧЧ играю фактически роль расположенных внутри плазмы сторонних источников колебаний. Величины ЧЧ и ЧЧ для первой </w:t>
      </w:r>
      <w:r w:rsidR="00E020EB">
        <w:t>г</w:t>
      </w:r>
      <w:r>
        <w:t xml:space="preserve">армоники, очевидно, тождественно равны нулю и введены только для более краткой и единой записи результирующих уравнений. Для колебаний второй гармоники выражения для источников определяется выражениями </w:t>
      </w:r>
    </w:p>
    <w:p w14:paraId="315E1A19" w14:textId="7E9A7E2F" w:rsidR="00E020EB" w:rsidRDefault="00E020EB">
      <w:r w:rsidRPr="00E020EB">
        <w:rPr>
          <w:noProof/>
        </w:rPr>
        <w:drawing>
          <wp:inline distT="0" distB="0" distL="0" distR="0" wp14:anchorId="07E7C571" wp14:editId="618E36F9">
            <wp:extent cx="2505425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24F" w14:textId="77777777" w:rsidR="001474A6" w:rsidRDefault="0046089A">
      <w:r>
        <w:t>ЧЧ</w:t>
      </w:r>
    </w:p>
    <w:p w14:paraId="7F2F0290" w14:textId="41DF72D4" w:rsidR="001474A6" w:rsidRDefault="0046089A">
      <w:r>
        <w:t>И фактически имеют смысл сторонней осциллирующей плотности заряда, (возникающей из-за нелинейного слагаемого в уравнении непрерывности ())</w:t>
      </w:r>
      <w:r w:rsidR="00E020EB">
        <w:t xml:space="preserve"> и </w:t>
      </w:r>
      <w:r>
        <w:t xml:space="preserve">потенциала стороннего поля, определяющего дополнительную (по отношению к полю </w:t>
      </w:r>
      <w:r>
        <w:rPr>
          <w:lang w:val="en-US"/>
        </w:rPr>
        <w:t>E</w:t>
      </w:r>
      <w:r>
        <w:t xml:space="preserve">_2) силу, действующую на заряды плазмы на удвоенной </w:t>
      </w:r>
      <w:r>
        <w:lastRenderedPageBreak/>
        <w:t xml:space="preserve">частоте (возникающего из-за нелинейности уравнения состояния () и из-за конвективного члена в уравнении () ). Система уравнений () должна быть дополнена граничными условиями на поверхности наночастицы. Первые из используемых нами граничных условий, вытекают непосредственно из уравнений максвелла </w:t>
      </w:r>
    </w:p>
    <w:p w14:paraId="3444FEBE" w14:textId="5C914BC0" w:rsidR="00E020EB" w:rsidRDefault="00E020EB">
      <w:r w:rsidRPr="00E020EB">
        <w:rPr>
          <w:noProof/>
        </w:rPr>
        <w:drawing>
          <wp:inline distT="0" distB="0" distL="0" distR="0" wp14:anchorId="4D13EF73" wp14:editId="10D5DB6F">
            <wp:extent cx="2095792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DF5" w14:textId="77777777" w:rsidR="001474A6" w:rsidRDefault="0046089A">
      <w:r>
        <w:rPr>
          <w:lang w:val="en-US"/>
        </w:rPr>
        <w:t>XX</w:t>
      </w:r>
    </w:p>
    <w:p w14:paraId="36D3FC6C" w14:textId="148763F8" w:rsidR="001474A6" w:rsidRDefault="0046089A">
      <w:r>
        <w:t>И связывают потенциалы электрического поля внутри наночастицы с соответствующими потенциалами Ч в окружающем ее однородном диэлектрике, удовлетворяющими уравнению</w:t>
      </w:r>
      <w:r w:rsidR="00281036">
        <w:t xml:space="preserve"> </w:t>
      </w:r>
      <w:r>
        <w:t>ЧЧЧ</w:t>
      </w:r>
    </w:p>
    <w:p w14:paraId="7D877B25" w14:textId="53B0C85B" w:rsidR="001474A6" w:rsidRDefault="0046089A">
      <w:r>
        <w:t>Последнее</w:t>
      </w:r>
      <w:r w:rsidR="000A7E02">
        <w:t xml:space="preserve">, </w:t>
      </w:r>
      <w:r>
        <w:t xml:space="preserve">необходимое для однозначного решения </w:t>
      </w:r>
      <w:r w:rsidR="000A7E02">
        <w:t>с</w:t>
      </w:r>
      <w:r>
        <w:t>ф</w:t>
      </w:r>
      <w:r w:rsidR="00281036">
        <w:t>о</w:t>
      </w:r>
      <w:r>
        <w:t>рмулированных уравнений</w:t>
      </w:r>
      <w:r w:rsidR="000A7E02">
        <w:t>,</w:t>
      </w:r>
      <w:r>
        <w:t xml:space="preserve"> граничное условие определяется характером движения электронов близ границы наночастицы. В случае принимаемого здесь условия зеркального отражения электронов от поверхности металла соответствующее граничное условие принимает вид, </w:t>
      </w:r>
    </w:p>
    <w:p w14:paraId="518C3852" w14:textId="3F10D8BD" w:rsidR="001474A6" w:rsidRDefault="00E020EB">
      <w:r>
        <w:t xml:space="preserve">Ч </w:t>
      </w:r>
      <w:r w:rsidRPr="00E020EB">
        <w:rPr>
          <w:noProof/>
        </w:rPr>
        <w:drawing>
          <wp:inline distT="0" distB="0" distL="0" distR="0" wp14:anchorId="6F45F8E1" wp14:editId="6A69D3C2">
            <wp:extent cx="2248214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3AD33F65" wp14:editId="5533CB73">
            <wp:extent cx="3667637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1A0" w14:textId="2978FAC9" w:rsidR="001474A6" w:rsidRDefault="0046089A">
      <w:r>
        <w:t>где</w:t>
      </w:r>
      <w:r w:rsidR="00281036">
        <w:t xml:space="preserve"> ЯЯЯ</w:t>
      </w:r>
      <w:r>
        <w:t xml:space="preserve"> фактически имеют смысл потенциала скорости электронов на основной и удвоенной гармониках колебаний</w:t>
      </w:r>
    </w:p>
    <w:p w14:paraId="03CE96D1" w14:textId="77777777" w:rsidR="001474A6" w:rsidRDefault="0046089A">
      <w:r>
        <w:t>ЧЧЧ</w:t>
      </w:r>
    </w:p>
    <w:p w14:paraId="277C928A" w14:textId="77777777" w:rsidR="001474A6" w:rsidRDefault="0046089A">
      <w:r>
        <w:tab/>
        <w:t>---</w:t>
      </w:r>
    </w:p>
    <w:p w14:paraId="710E7DF7" w14:textId="4112DA28" w:rsidR="001474A6" w:rsidRDefault="0046089A">
      <w:pPr>
        <w:rPr>
          <w:color w:val="000000"/>
          <w:shd w:val="clear" w:color="auto" w:fill="FBFBFB"/>
        </w:rPr>
      </w:pPr>
      <w:r>
        <w:t xml:space="preserve">Сформулированная система уравнений (), как и в других подобных работах, посвященных исследованию генерации второй гармоники в условиях двойных резонансов, позволяет рассчитать структуру колебаний [&amp;&amp;&amp;]. Новым основным новым элементом здесь является здесь учет </w:t>
      </w:r>
      <w:proofErr w:type="spellStart"/>
      <w:r>
        <w:t>нелокальности</w:t>
      </w:r>
      <w:proofErr w:type="spellEnd"/>
      <w:r>
        <w:t xml:space="preserve"> поляризации плазмы не только для основной, но и для удвоенной гармоники, что позволяет описать возникновение резонансов объемных плазмонов на этой частоте. Как известно, поле объемных плазмонов сильно локализовано внутри наночастицы и </w:t>
      </w:r>
      <w:r w:rsidR="00411D5A">
        <w:t>соответствующие</w:t>
      </w:r>
      <w:r>
        <w:t xml:space="preserve"> им резонансы обычно слабо проявляется в спектрах рассеянного излучения, однако как будет показано далее, возбуждение объемных плазмонов на удвоенной частоте может приводить к заметному изменению поглощаемой наночастицей мощности. </w:t>
      </w:r>
      <w:r>
        <w:lastRenderedPageBreak/>
        <w:t>Расчет спектров поглощения в рамках рассм</w:t>
      </w:r>
      <w:r w:rsidR="008B4F9B">
        <w:t>а</w:t>
      </w:r>
      <w:r>
        <w:t>триваемой модели может быть выполнен следующим образом. Потери энергии обусловлены наличием в уравнении (1.2) диссипативной силы, с плотностью ЧЧЧ</w:t>
      </w:r>
      <w:r>
        <w:rPr>
          <w:shd w:val="clear" w:color="auto" w:fill="FBFBFB"/>
        </w:rPr>
        <w:t xml:space="preserve">. </w:t>
      </w:r>
      <w:r>
        <w:t xml:space="preserve">Средняя за период плотность мощности этой силы очевидным образом может быть выражена через комплексные амплитуды плотностей потока и скоростей первой и второй гармоник. </w:t>
      </w:r>
      <w:r>
        <w:rPr>
          <w:color w:val="000000"/>
        </w:rPr>
        <w:t xml:space="preserve">Интегрируя по объему наночастицы </w:t>
      </w:r>
      <w:r>
        <w:rPr>
          <w:i/>
          <w:color w:val="000000"/>
          <w:lang w:val="en-US"/>
        </w:rPr>
        <w:t>V</w:t>
      </w:r>
      <w:r w:rsidR="00FE3E0E">
        <w:rPr>
          <w:i/>
          <w:color w:val="000000"/>
        </w:rPr>
        <w:t xml:space="preserve"> с учетом </w:t>
      </w:r>
      <w:proofErr w:type="spellStart"/>
      <w:r w:rsidR="00FE3E0E">
        <w:rPr>
          <w:i/>
          <w:color w:val="000000"/>
        </w:rPr>
        <w:t>сотношений</w:t>
      </w:r>
      <w:proofErr w:type="spellEnd"/>
      <w:r w:rsidR="00FE3E0E">
        <w:rPr>
          <w:i/>
          <w:color w:val="000000"/>
        </w:rPr>
        <w:t xml:space="preserve"> () и</w:t>
      </w:r>
      <w:r>
        <w:rPr>
          <w:color w:val="000000"/>
        </w:rPr>
        <w:t xml:space="preserve"> граничн</w:t>
      </w:r>
      <w:r w:rsidR="00FE3E0E">
        <w:rPr>
          <w:color w:val="000000"/>
        </w:rPr>
        <w:t>ого</w:t>
      </w:r>
      <w:r>
        <w:rPr>
          <w:color w:val="000000"/>
        </w:rPr>
        <w:t xml:space="preserve"> услови</w:t>
      </w:r>
      <w:r w:rsidR="00FE3E0E">
        <w:rPr>
          <w:color w:val="000000"/>
        </w:rPr>
        <w:t>я</w:t>
      </w:r>
      <w:r>
        <w:rPr>
          <w:color w:val="000000"/>
        </w:rPr>
        <w:t xml:space="preserve"> (), </w:t>
      </w:r>
      <w:r>
        <w:rPr>
          <w:color w:val="000000"/>
          <w:shd w:val="clear" w:color="auto" w:fill="FBFBFB"/>
        </w:rPr>
        <w:t xml:space="preserve">приходим к следующему выражению для средней за период мощности потерь во всем объеме наночастицы. </w:t>
      </w:r>
    </w:p>
    <w:p w14:paraId="3006E2EB" w14:textId="2F899F02" w:rsidR="00E020EB" w:rsidRDefault="00E020EB">
      <w:pPr>
        <w:rPr>
          <w:color w:val="000000"/>
          <w:shd w:val="clear" w:color="auto" w:fill="FBFBFB"/>
        </w:rPr>
      </w:pPr>
      <w:r w:rsidRPr="00E020EB">
        <w:rPr>
          <w:noProof/>
          <w:color w:val="000000"/>
          <w:shd w:val="clear" w:color="auto" w:fill="FBFBFB"/>
        </w:rPr>
        <w:drawing>
          <wp:inline distT="0" distB="0" distL="0" distR="0" wp14:anchorId="6E0650CE" wp14:editId="0356F02B">
            <wp:extent cx="2829320" cy="61921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D18" w14:textId="1F84C5B0" w:rsidR="00773C74" w:rsidRDefault="00773C74">
      <w:pPr>
        <w:rPr>
          <w:color w:val="000000"/>
          <w:shd w:val="clear" w:color="auto" w:fill="FBFBFB"/>
        </w:rPr>
      </w:pPr>
      <w:r w:rsidRPr="00E020EB">
        <w:rPr>
          <w:noProof/>
          <w:color w:val="FF0000"/>
        </w:rPr>
        <w:drawing>
          <wp:inline distT="0" distB="0" distL="0" distR="0" wp14:anchorId="43A0BCEB" wp14:editId="087C4965">
            <wp:extent cx="2429214" cy="20767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989" w14:textId="6953BF5D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ab/>
        <w:t>Применительно к сферической наночастице радиуса а, помещенной в однородную среду с проницаемостью Ч решение линейной задачи, описывающей колебания на частоте внешнего поля хорошо известно (см. например</w:t>
      </w:r>
      <w:r w:rsidR="008B4F9B">
        <w:rPr>
          <w:color w:val="000000"/>
          <w:shd w:val="clear" w:color="auto" w:fill="FBFBFB"/>
        </w:rPr>
        <w:t xml:space="preserve"> </w:t>
      </w:r>
      <w:r w:rsidR="008B4F9B" w:rsidRPr="008B4F9B">
        <w:rPr>
          <w:color w:val="000000"/>
          <w:shd w:val="clear" w:color="auto" w:fill="FBFBFB"/>
        </w:rPr>
        <w:t>[]</w:t>
      </w:r>
      <w:r>
        <w:rPr>
          <w:color w:val="000000"/>
          <w:shd w:val="clear" w:color="auto" w:fill="FBFBFB"/>
        </w:rPr>
        <w:t xml:space="preserve">). Как можно показать, выражения для </w:t>
      </w:r>
      <w:r w:rsidRPr="007263B8">
        <w:rPr>
          <w:color w:val="FF0000"/>
          <w:shd w:val="clear" w:color="auto" w:fill="FBFBFB"/>
        </w:rPr>
        <w:t>потенциала</w:t>
      </w:r>
      <w:r>
        <w:rPr>
          <w:color w:val="000000"/>
          <w:shd w:val="clear" w:color="auto" w:fill="FBFBFB"/>
        </w:rPr>
        <w:t xml:space="preserve"> и плотности заряда в этом случае имеют следующий вид</w:t>
      </w:r>
    </w:p>
    <w:p w14:paraId="18AED9C2" w14:textId="2CA10010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>ЧЧЧ</w:t>
      </w:r>
      <w:r w:rsidR="007263B8" w:rsidRPr="007263B8">
        <w:rPr>
          <w:noProof/>
        </w:rPr>
        <w:t xml:space="preserve">  </w:t>
      </w:r>
      <w:r w:rsidR="007263B8">
        <w:rPr>
          <w:noProof/>
        </w:rPr>
        <w:drawing>
          <wp:inline distT="0" distB="0" distL="0" distR="0" wp14:anchorId="3412E7E3" wp14:editId="672C6163">
            <wp:extent cx="3201035" cy="1771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85579" w14:textId="00362BC2" w:rsidR="007E1371" w:rsidRDefault="00FE3E0E">
      <w:r>
        <w:t xml:space="preserve">Где </w:t>
      </w:r>
      <w:r w:rsidR="008B4F9B">
        <w:t>(</w:t>
      </w:r>
      <w:r>
        <w:t>ЧЧЧ</w:t>
      </w:r>
      <w:r w:rsidR="008B4F9B">
        <w:t xml:space="preserve"> </w:t>
      </w:r>
      <w:r w:rsidR="008B4F9B" w:rsidRPr="008B4F9B">
        <w:rPr>
          <w:highlight w:val="yellow"/>
        </w:rPr>
        <w:t>в т.ч. эр и тета указать</w:t>
      </w:r>
      <w:r w:rsidR="008B4F9B">
        <w:t>)</w:t>
      </w:r>
      <w:r>
        <w:t xml:space="preserve">. Последнее из перечисленных величин имеет смысл диэлектрической проницаемости металла в отсутствие </w:t>
      </w:r>
      <w:proofErr w:type="spellStart"/>
      <w:r>
        <w:t>нелокальности</w:t>
      </w:r>
      <w:proofErr w:type="spellEnd"/>
      <w:r>
        <w:t xml:space="preserve">. Условие равенства нулю знаменателя в выражении () </w:t>
      </w:r>
      <w:r w:rsidR="007E1371">
        <w:t>определяет зависимость резонансных частот от параметров наночастицы и окружающей ее среды. Положение наиболее сильного из них, дипольного поверхностного плазмона (резонанс Ми)</w:t>
      </w:r>
      <w:r w:rsidR="007E1371" w:rsidRPr="007E1371">
        <w:t xml:space="preserve"> </w:t>
      </w:r>
      <w:r w:rsidR="007E1371">
        <w:t xml:space="preserve">на частоте </w:t>
      </w:r>
    </w:p>
    <w:p w14:paraId="393970B7" w14:textId="38081B0E" w:rsidR="007263B8" w:rsidRPr="00670692" w:rsidRDefault="007263B8">
      <w:r w:rsidRPr="007263B8">
        <w:rPr>
          <w:rFonts w:ascii="Cambria Math" w:hAnsi="Cambria Math" w:cs="Cambria Math"/>
        </w:rPr>
        <w:t>𝜀</w:t>
      </w:r>
      <w:r w:rsidRPr="007263B8">
        <w:t xml:space="preserve"> + 2</w:t>
      </w:r>
      <w:r w:rsidRPr="007263B8">
        <w:rPr>
          <w:rFonts w:ascii="Cambria Math" w:hAnsi="Cambria Math" w:cs="Cambria Math"/>
        </w:rPr>
        <w:t>𝜀</w:t>
      </w:r>
      <w:r>
        <w:rPr>
          <w:rFonts w:ascii="Tahoma" w:hAnsi="Tahoma" w:cs="Tahoma"/>
          <w:lang w:val="en-US"/>
        </w:rPr>
        <w:t>d</w:t>
      </w:r>
      <w:r w:rsidRPr="00670692">
        <w:rPr>
          <w:rFonts w:ascii="Tahoma" w:hAnsi="Tahoma" w:cs="Tahoma"/>
        </w:rPr>
        <w:t xml:space="preserve"> = 0</w:t>
      </w:r>
    </w:p>
    <w:p w14:paraId="4998B363" w14:textId="01EE3406" w:rsidR="007E1371" w:rsidRPr="00670692" w:rsidRDefault="007E1371">
      <w:r>
        <w:rPr>
          <w:lang w:val="en-US"/>
        </w:rPr>
        <w:lastRenderedPageBreak/>
        <w:t>XXX</w:t>
      </w:r>
    </w:p>
    <w:p w14:paraId="4A79A47C" w14:textId="4E2E8793" w:rsidR="0046089A" w:rsidRPr="0046089A" w:rsidRDefault="0046089A">
      <w:r w:rsidRPr="0046089A">
        <w:rPr>
          <w:highlight w:val="yellow"/>
        </w:rPr>
        <w:t xml:space="preserve">Объяснить обозначения </w:t>
      </w:r>
      <w:proofErr w:type="spellStart"/>
      <w:r w:rsidRPr="0046089A">
        <w:rPr>
          <w:highlight w:val="yellow"/>
        </w:rPr>
        <w:t>собств</w:t>
      </w:r>
      <w:proofErr w:type="spellEnd"/>
      <w:r w:rsidRPr="0046089A">
        <w:rPr>
          <w:highlight w:val="yellow"/>
        </w:rPr>
        <w:t xml:space="preserve"> частот</w:t>
      </w:r>
    </w:p>
    <w:p w14:paraId="192087B2" w14:textId="6A140437" w:rsidR="00DD760D" w:rsidRDefault="00DD760D">
      <w:pPr>
        <w:pStyle w:val="ab"/>
      </w:pPr>
      <w:bookmarkStart w:id="0" w:name="_Hlk166629525"/>
      <w:bookmarkEnd w:id="0"/>
      <w:r>
        <w:t>Зависит от диэлектрической проницаемости внешней среды</w:t>
      </w:r>
      <w:r w:rsidR="00FE1CB9">
        <w:t>,</w:t>
      </w:r>
      <w:r>
        <w:t xml:space="preserve"> и частота генерируемой в наночастице второй гармоники колебаний может лежать в области частот отвечающей возможности возбуждения объемных плазмонов</w:t>
      </w:r>
      <w:r w:rsidR="00FE1CB9">
        <w:t>. Значения их резонансных частот</w:t>
      </w:r>
      <w:r>
        <w:t xml:space="preserve"> определяются общим дисперсионным уравнением </w:t>
      </w:r>
    </w:p>
    <w:p w14:paraId="6DFFBFEF" w14:textId="658B5E2C" w:rsidR="00DD760D" w:rsidRPr="00547DFD" w:rsidRDefault="00DD760D">
      <w:pPr>
        <w:pStyle w:val="ab"/>
      </w:pPr>
      <w:r>
        <w:t>ЧЧЧ</w:t>
      </w:r>
      <w:r w:rsidR="00670692" w:rsidRPr="00547DFD">
        <w:t xml:space="preserve"> </w:t>
      </w:r>
    </w:p>
    <w:p w14:paraId="7AB0821E" w14:textId="268372F5" w:rsidR="00DD760D" w:rsidRDefault="00DD760D">
      <w:pPr>
        <w:pStyle w:val="ab"/>
      </w:pPr>
      <w:r>
        <w:t xml:space="preserve">(Ч – номер </w:t>
      </w:r>
      <w:proofErr w:type="spellStart"/>
      <w:r>
        <w:t>мультиполя</w:t>
      </w:r>
      <w:proofErr w:type="spellEnd"/>
      <w:r>
        <w:t>), которое</w:t>
      </w:r>
      <w:r w:rsidR="00FE1CB9">
        <w:t xml:space="preserve"> может быть </w:t>
      </w:r>
      <w:r w:rsidR="008B4F9B">
        <w:t xml:space="preserve">также </w:t>
      </w:r>
      <w:r w:rsidR="00FE1CB9">
        <w:t xml:space="preserve">получено из решения однородной </w:t>
      </w:r>
      <w:r w:rsidR="00D742C1">
        <w:t>краевой задачи () в отсутствие внешнего поля.</w:t>
      </w:r>
      <w:r w:rsidR="00FE1CB9">
        <w:t xml:space="preserve"> В интересующем нас случае слабой пространственной дисперсии</w:t>
      </w:r>
      <w:r w:rsidR="00FE1CB9" w:rsidRPr="00FE1CB9">
        <w:t xml:space="preserve"> </w:t>
      </w:r>
      <w:r w:rsidR="00FE1CB9">
        <w:t>эр0</w:t>
      </w:r>
      <w:r w:rsidR="00FE1CB9" w:rsidRPr="00FE1CB9">
        <w:t>&lt;&lt;</w:t>
      </w:r>
      <w:r w:rsidR="00FE1CB9">
        <w:rPr>
          <w:lang w:val="en-US"/>
        </w:rPr>
        <w:t>a</w:t>
      </w:r>
      <w:r w:rsidR="00FE1CB9">
        <w:t xml:space="preserve"> значения резонансных частот слабо зависят от параметров окружающей среды и приближенно могут быть найдены из соотношения</w:t>
      </w:r>
      <w:r w:rsidR="008B4F9B">
        <w:t xml:space="preserve"> </w:t>
      </w:r>
      <w:r w:rsidR="008B4F9B">
        <w:rPr>
          <w:lang w:val="en-US"/>
        </w:rPr>
        <w:t>X</w:t>
      </w:r>
      <w:r w:rsidR="00FE1CB9">
        <w:t xml:space="preserve">, где </w:t>
      </w:r>
      <w:proofErr w:type="spellStart"/>
      <w:r w:rsidR="00FE1CB9">
        <w:t>мю</w:t>
      </w:r>
      <w:r w:rsidR="008B4F9B" w:rsidRPr="008B4F9B">
        <w:t>_</w:t>
      </w:r>
      <w:r w:rsidR="00FE1CB9">
        <w:t>мн</w:t>
      </w:r>
      <w:proofErr w:type="spellEnd"/>
      <w:r w:rsidR="00FE1CB9">
        <w:t xml:space="preserve"> Ч-й корень сферической функции </w:t>
      </w:r>
      <w:r w:rsidR="00054C51">
        <w:t>Б</w:t>
      </w:r>
      <w:r w:rsidR="00FE1CB9">
        <w:t xml:space="preserve">есселя порядка </w:t>
      </w:r>
      <w:r w:rsidR="00FE1CB9">
        <w:rPr>
          <w:lang w:val="en-US"/>
        </w:rPr>
        <w:t>n</w:t>
      </w:r>
      <w:r w:rsidR="00FE1CB9" w:rsidRPr="00FE1CB9">
        <w:t>+1.</w:t>
      </w:r>
    </w:p>
    <w:p w14:paraId="7F534CBB" w14:textId="19395E52" w:rsidR="00670692" w:rsidRDefault="00670692">
      <w:pPr>
        <w:pStyle w:val="ab"/>
      </w:pPr>
      <w:r w:rsidRPr="00670692">
        <w:rPr>
          <w:noProof/>
        </w:rPr>
        <w:drawing>
          <wp:inline distT="0" distB="0" distL="0" distR="0" wp14:anchorId="5AFD6E8E" wp14:editId="383C4A7C">
            <wp:extent cx="2985537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143" cy="23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22F7" w14:textId="6A2BB772" w:rsidR="00670692" w:rsidRPr="002075E7" w:rsidRDefault="00670692">
      <w:pPr>
        <w:pStyle w:val="ab"/>
        <w:rPr>
          <w:color w:val="70AD47" w:themeColor="accent6"/>
        </w:rPr>
      </w:pPr>
      <w:r w:rsidRPr="002075E7">
        <w:rPr>
          <w:color w:val="70AD47" w:themeColor="accent6"/>
        </w:rPr>
        <w:t xml:space="preserve">Рисунок: положение частоты основного резонанса (сплошная линия) в зависимости от диэлектрической проницаемости внешней среды, </w:t>
      </w:r>
      <w:r w:rsidR="002075E7">
        <w:rPr>
          <w:color w:val="70AD47" w:themeColor="accent6"/>
        </w:rPr>
        <w:t xml:space="preserve">а </w:t>
      </w:r>
      <w:proofErr w:type="gramStart"/>
      <w:r w:rsidR="002075E7">
        <w:rPr>
          <w:color w:val="70AD47" w:themeColor="accent6"/>
        </w:rPr>
        <w:t>так же</w:t>
      </w:r>
      <w:proofErr w:type="gramEnd"/>
      <w:r w:rsidR="002075E7">
        <w:rPr>
          <w:color w:val="70AD47" w:themeColor="accent6"/>
        </w:rPr>
        <w:t xml:space="preserve"> положения резонансных частот при </w:t>
      </w:r>
      <w:r w:rsidR="002075E7" w:rsidRPr="002075E7">
        <w:rPr>
          <w:color w:val="70AD47" w:themeColor="accent6"/>
          <w:lang w:val="en-US"/>
        </w:rPr>
        <w:t>m</w:t>
      </w:r>
      <w:r w:rsidR="002075E7" w:rsidRPr="002075E7">
        <w:rPr>
          <w:color w:val="70AD47" w:themeColor="accent6"/>
        </w:rPr>
        <w:t xml:space="preserve">=0,2, </w:t>
      </w:r>
      <w:r w:rsidR="002075E7">
        <w:rPr>
          <w:color w:val="70AD47" w:themeColor="accent6"/>
        </w:rPr>
        <w:t>при разной диэлектрической проницаемости ионного остова</w:t>
      </w:r>
    </w:p>
    <w:p w14:paraId="5E4C55C0" w14:textId="60D000F3" w:rsidR="006E1790" w:rsidRDefault="00796DCD">
      <w:pPr>
        <w:pStyle w:val="ab"/>
        <w:rPr>
          <w:highlight w:val="yellow"/>
        </w:rPr>
      </w:pPr>
      <w:r>
        <w:t xml:space="preserve">Из всех возможных условий двойных резонансов здесь представляет интерес рассмотрение случая с </w:t>
      </w:r>
      <w:r>
        <w:rPr>
          <w:lang w:val="en-US"/>
        </w:rPr>
        <w:t>m</w:t>
      </w:r>
      <w:r w:rsidRPr="00796DCD">
        <w:t xml:space="preserve">=0 </w:t>
      </w:r>
      <w:r>
        <w:t xml:space="preserve">и </w:t>
      </w:r>
      <w:r>
        <w:rPr>
          <w:lang w:val="en-US"/>
        </w:rPr>
        <w:t>m</w:t>
      </w:r>
      <w:r w:rsidRPr="00796DCD">
        <w:t>=2</w:t>
      </w:r>
      <w:r>
        <w:t xml:space="preserve">, поскольку в случае сферической наночастицы, как можно увидеть из соотношений () (), </w:t>
      </w:r>
      <w:r w:rsidR="00FE1CB9">
        <w:t>источники поля второй гармоники могут</w:t>
      </w:r>
      <w:r w:rsidR="006E1790">
        <w:t xml:space="preserve"> </w:t>
      </w:r>
      <w:r w:rsidR="00FE1CB9">
        <w:t>возбуждать только колебания монопольного и квадрупольного типов.</w:t>
      </w:r>
      <w:r>
        <w:t xml:space="preserve"> </w:t>
      </w:r>
      <w:r w:rsidR="008B4F9B">
        <w:t>Таким образом</w:t>
      </w:r>
      <w:r w:rsidR="006E1790">
        <w:t xml:space="preserve"> полная средняя за период мощность потерь </w:t>
      </w:r>
      <w:r w:rsidR="006E1790">
        <w:rPr>
          <w:lang w:val="en-US"/>
        </w:rPr>
        <w:t>Q</w:t>
      </w:r>
      <w:r w:rsidR="006E1790" w:rsidRPr="006E1790">
        <w:t xml:space="preserve"> =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D</w:t>
      </w:r>
      <w:r w:rsidR="006E1790" w:rsidRPr="006E1790">
        <w:t xml:space="preserve"> +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M</w:t>
      </w:r>
      <w:r w:rsidR="006E1790" w:rsidRPr="006E1790">
        <w:t xml:space="preserve"> +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Q</w:t>
      </w:r>
      <w:r w:rsidR="006E1790" w:rsidRPr="006E1790">
        <w:t xml:space="preserve"> </w:t>
      </w:r>
      <w:r w:rsidR="006E1790">
        <w:t>содержит вклады от дипольных колебаний на основной частоте</w:t>
      </w:r>
      <w:r w:rsidR="0046089A">
        <w:t xml:space="preserve"> (</w:t>
      </w:r>
      <w:r w:rsidR="0046089A">
        <w:rPr>
          <w:lang w:val="en-US"/>
        </w:rPr>
        <w:t>Q</w:t>
      </w:r>
      <w:r w:rsidR="0046089A" w:rsidRPr="0046089A">
        <w:t>^(1)</w:t>
      </w:r>
      <w:r w:rsidR="0046089A">
        <w:t>)</w:t>
      </w:r>
      <w:r w:rsidR="006E1790">
        <w:t xml:space="preserve"> и </w:t>
      </w:r>
      <w:bookmarkStart w:id="1" w:name="_Hlk194318019"/>
      <w:r w:rsidR="006E1790">
        <w:t xml:space="preserve">монопольных и квадрупольных колебаний </w:t>
      </w:r>
      <w:bookmarkEnd w:id="1"/>
      <w:r w:rsidR="006E1790">
        <w:t>на удвоенной частоте внешнего поля</w:t>
      </w:r>
      <w:r w:rsidR="0046089A" w:rsidRPr="0046089A">
        <w:t xml:space="preserve"> (</w:t>
      </w:r>
      <w:r w:rsidR="0046089A">
        <w:rPr>
          <w:lang w:val="en-US"/>
        </w:rPr>
        <w:t>Q</w:t>
      </w:r>
      <w:r w:rsidR="0046089A" w:rsidRPr="0046089A">
        <w:t xml:space="preserve">^0 </w:t>
      </w:r>
      <w:r w:rsidR="0046089A">
        <w:rPr>
          <w:lang w:val="en-US"/>
        </w:rPr>
        <w:t>and</w:t>
      </w:r>
      <w:r w:rsidR="0046089A" w:rsidRPr="0046089A">
        <w:t xml:space="preserve"> </w:t>
      </w:r>
      <w:r w:rsidR="0046089A">
        <w:rPr>
          <w:lang w:val="en-US"/>
        </w:rPr>
        <w:t>Q</w:t>
      </w:r>
      <w:r w:rsidR="0046089A" w:rsidRPr="0046089A">
        <w:t xml:space="preserve">^(2) </w:t>
      </w:r>
      <w:r w:rsidR="002075E7">
        <w:t>соответственно</w:t>
      </w:r>
      <w:r w:rsidR="0046089A" w:rsidRPr="0046089A">
        <w:t>)</w:t>
      </w:r>
      <w:r w:rsidR="006E1790">
        <w:t xml:space="preserve">. </w:t>
      </w:r>
      <w:r w:rsidR="006E1790" w:rsidRPr="006E1790">
        <w:rPr>
          <w:highlight w:val="yellow"/>
        </w:rPr>
        <w:t xml:space="preserve">Более </w:t>
      </w:r>
      <w:r w:rsidR="006E1790" w:rsidRPr="006E1790">
        <w:rPr>
          <w:highlight w:val="yellow"/>
        </w:rPr>
        <w:lastRenderedPageBreak/>
        <w:t>подробное описание деталей расчета каждой из составляющих приведено в приложении к статье.</w:t>
      </w:r>
    </w:p>
    <w:p w14:paraId="26C1470A" w14:textId="4FCAAEB5" w:rsidR="00BC6E7F" w:rsidRPr="003A640A" w:rsidRDefault="00BC6E7F">
      <w:pPr>
        <w:pStyle w:val="ab"/>
        <w:rPr>
          <w:color w:val="70AD47" w:themeColor="accent6"/>
        </w:rPr>
      </w:pPr>
      <w:r w:rsidRPr="00BC6E7F">
        <w:rPr>
          <w:color w:val="70AD47" w:themeColor="accent6"/>
        </w:rPr>
        <w:t>Далее</w:t>
      </w:r>
      <w:r>
        <w:rPr>
          <w:color w:val="70AD47" w:themeColor="accent6"/>
        </w:rPr>
        <w:t xml:space="preserve"> представлены зависимости мощности потерь от </w:t>
      </w:r>
      <w:r w:rsidR="003A640A">
        <w:rPr>
          <w:color w:val="70AD47" w:themeColor="accent6"/>
        </w:rPr>
        <w:t xml:space="preserve">частоты при различных </w:t>
      </w:r>
      <w:proofErr w:type="spellStart"/>
      <w:r w:rsidR="003A640A" w:rsidRPr="00BC6E7F">
        <w:rPr>
          <w:lang w:val="en-US"/>
        </w:rPr>
        <w:t>epsInf</w:t>
      </w:r>
      <w:proofErr w:type="spellEnd"/>
      <w:r w:rsidR="003A640A">
        <w:t xml:space="preserve"> и </w:t>
      </w:r>
      <w:proofErr w:type="spellStart"/>
      <w:r w:rsidR="003A640A">
        <w:rPr>
          <w:lang w:val="en-US"/>
        </w:rPr>
        <w:t>epsD</w:t>
      </w:r>
      <w:proofErr w:type="spellEnd"/>
      <w:r w:rsidR="003A640A" w:rsidRPr="003A640A">
        <w:t xml:space="preserve">. </w:t>
      </w:r>
      <w:r w:rsidR="003A640A">
        <w:rPr>
          <w:color w:val="70AD47" w:themeColor="accent6"/>
        </w:rPr>
        <w:t xml:space="preserve">Сплошной линией указана полная мощность потерь, </w:t>
      </w:r>
      <w:r w:rsidR="003A640A">
        <w:rPr>
          <w:color w:val="70AD47" w:themeColor="accent6"/>
          <w:lang w:val="en-US"/>
        </w:rPr>
        <w:t>dot</w:t>
      </w:r>
      <w:r w:rsidR="003A640A" w:rsidRPr="003A640A">
        <w:rPr>
          <w:color w:val="70AD47" w:themeColor="accent6"/>
        </w:rPr>
        <w:t xml:space="preserve"> – </w:t>
      </w:r>
      <w:r w:rsidR="003A640A">
        <w:rPr>
          <w:color w:val="70AD47" w:themeColor="accent6"/>
        </w:rPr>
        <w:t xml:space="preserve">вклад в потери от дипольных колебаний, пунктир и пунктир с точкой вклад от </w:t>
      </w:r>
      <w:r w:rsidR="003A640A" w:rsidRPr="003A640A">
        <w:rPr>
          <w:color w:val="70AD47" w:themeColor="accent6"/>
        </w:rPr>
        <w:t>монопольных и квадрупольных колебаний</w:t>
      </w:r>
      <w:r w:rsidR="003A640A">
        <w:rPr>
          <w:color w:val="70AD47" w:themeColor="accent6"/>
        </w:rPr>
        <w:t xml:space="preserve"> соответственно.</w:t>
      </w:r>
    </w:p>
    <w:p w14:paraId="5E8C658D" w14:textId="6D65EB99" w:rsidR="00BC6E7F" w:rsidRPr="003A640A" w:rsidRDefault="002075E7" w:rsidP="00BC6E7F">
      <w:pPr>
        <w:pStyle w:val="ab"/>
      </w:pPr>
      <w:r w:rsidRPr="002075E7">
        <w:rPr>
          <w:noProof/>
        </w:rPr>
        <w:drawing>
          <wp:inline distT="0" distB="0" distL="0" distR="0" wp14:anchorId="61291638" wp14:editId="34CD51AA">
            <wp:extent cx="2902206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307" cy="23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118AA" wp14:editId="68898764">
            <wp:extent cx="2806957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01" cy="2258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6E7F" w:rsidRPr="003A640A">
        <w:t xml:space="preserve"> </w:t>
      </w:r>
    </w:p>
    <w:p w14:paraId="3DAA67E5" w14:textId="5FAF3851" w:rsidR="00547DFD" w:rsidRPr="00F934FD" w:rsidRDefault="003A640A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 xml:space="preserve">Рисунок. Зависимость мощности потерь при </w:t>
      </w:r>
      <w:proofErr w:type="spellStart"/>
      <w:r w:rsidRPr="00F934FD">
        <w:rPr>
          <w:color w:val="70AD47" w:themeColor="accent6"/>
          <w:lang w:val="en-US"/>
        </w:rPr>
        <w:t>epsInf</w:t>
      </w:r>
      <w:proofErr w:type="spellEnd"/>
      <w:r w:rsidRPr="00F934FD">
        <w:rPr>
          <w:color w:val="70AD47" w:themeColor="accent6"/>
        </w:rPr>
        <w:t xml:space="preserve">= </w:t>
      </w:r>
      <w:r w:rsidR="00160BF6" w:rsidRPr="00F934FD">
        <w:rPr>
          <w:color w:val="70AD47" w:themeColor="accent6"/>
        </w:rPr>
        <w:t>2 (</w:t>
      </w:r>
      <w:r w:rsidR="00160BF6" w:rsidRPr="00F934FD">
        <w:rPr>
          <w:color w:val="70AD47" w:themeColor="accent6"/>
          <w:lang w:val="en-US"/>
        </w:rPr>
        <w:t>a</w:t>
      </w:r>
      <w:r w:rsidR="00160BF6" w:rsidRPr="00F934FD">
        <w:rPr>
          <w:color w:val="70AD47" w:themeColor="accent6"/>
        </w:rPr>
        <w:t xml:space="preserve">), и </w:t>
      </w:r>
      <w:proofErr w:type="spellStart"/>
      <w:r w:rsidR="00160BF6" w:rsidRPr="00F934FD">
        <w:rPr>
          <w:color w:val="70AD47" w:themeColor="accent6"/>
          <w:lang w:val="en-US"/>
        </w:rPr>
        <w:t>epsInf</w:t>
      </w:r>
      <w:proofErr w:type="spellEnd"/>
      <w:r w:rsidR="00160BF6" w:rsidRPr="00F934FD">
        <w:rPr>
          <w:color w:val="70AD47" w:themeColor="accent6"/>
        </w:rPr>
        <w:t xml:space="preserve">= </w:t>
      </w:r>
      <w:r w:rsidR="00160BF6" w:rsidRPr="00F934FD">
        <w:rPr>
          <w:color w:val="70AD47" w:themeColor="accent6"/>
        </w:rPr>
        <w:t>4 (б)</w:t>
      </w:r>
      <w:r w:rsidRPr="00F934FD">
        <w:rPr>
          <w:color w:val="70AD47" w:themeColor="accent6"/>
        </w:rPr>
        <w:t xml:space="preserve">, </w:t>
      </w:r>
      <w:r w:rsidR="00160BF6" w:rsidRPr="00F934FD">
        <w:rPr>
          <w:color w:val="70AD47" w:themeColor="accent6"/>
        </w:rPr>
        <w:t>при</w:t>
      </w:r>
      <w:r w:rsidRPr="00F934FD">
        <w:rPr>
          <w:color w:val="70AD47" w:themeColor="accent6"/>
        </w:rPr>
        <w:t xml:space="preserve"> </w:t>
      </w:r>
      <w:proofErr w:type="spellStart"/>
      <w:r w:rsidRPr="00F934FD">
        <w:rPr>
          <w:color w:val="70AD47" w:themeColor="accent6"/>
          <w:lang w:val="en-US"/>
        </w:rPr>
        <w:t>epsd</w:t>
      </w:r>
      <w:proofErr w:type="spellEnd"/>
      <w:r w:rsidRPr="00F934FD">
        <w:rPr>
          <w:color w:val="70AD47" w:themeColor="accent6"/>
        </w:rPr>
        <w:t xml:space="preserve"> = 4, 3, 2.5, 2 соответственно</w:t>
      </w:r>
      <w:r w:rsidR="00547DFD" w:rsidRPr="00F934FD">
        <w:rPr>
          <w:color w:val="70AD47" w:themeColor="accent6"/>
        </w:rPr>
        <w:t xml:space="preserve"> </w:t>
      </w:r>
      <w:r w:rsidR="00160BF6" w:rsidRPr="00F934FD">
        <w:rPr>
          <w:color w:val="70AD47" w:themeColor="accent6"/>
        </w:rPr>
        <w:t>слева направо.</w:t>
      </w:r>
    </w:p>
    <w:p w14:paraId="601053C4" w14:textId="0AC1F14E" w:rsidR="00160BF6" w:rsidRPr="00F934FD" w:rsidRDefault="00160BF6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>Из приведенных графиков видно, что</w:t>
      </w:r>
      <w:r w:rsidRPr="00F934FD">
        <w:rPr>
          <w:color w:val="70AD47" w:themeColor="accent6"/>
        </w:rPr>
        <w:t xml:space="preserve"> дополнительные резонансы</w:t>
      </w:r>
      <w:r w:rsidRPr="00F934FD">
        <w:rPr>
          <w:color w:val="70AD47" w:themeColor="accent6"/>
        </w:rPr>
        <w:t xml:space="preserve"> не проявляются в виде отдельных пиков на фоне основных потерь энергии</w:t>
      </w:r>
      <w:r w:rsidRPr="00F934FD">
        <w:rPr>
          <w:color w:val="70AD47" w:themeColor="accent6"/>
        </w:rPr>
        <w:t xml:space="preserve">, </w:t>
      </w:r>
      <w:r w:rsidRPr="00F934FD">
        <w:rPr>
          <w:color w:val="70AD47" w:themeColor="accent6"/>
        </w:rPr>
        <w:t>однако из-за этого</w:t>
      </w:r>
      <w:r w:rsidRPr="00F934FD">
        <w:rPr>
          <w:color w:val="70AD47" w:themeColor="accent6"/>
        </w:rPr>
        <w:t xml:space="preserve"> увеличивается суммарная мощность потерь. Стоит отметить влияние монопольных резонансов, которые как правило себя не проявляют. Так же, в некоторых случаях происходит уширение линии потерь.</w:t>
      </w:r>
      <w:r w:rsidR="00773C74">
        <w:rPr>
          <w:color w:val="70AD47" w:themeColor="accent6"/>
        </w:rPr>
        <w:t xml:space="preserve"> При этом чем ближе</w:t>
      </w:r>
      <w:r w:rsidR="00773C74" w:rsidRPr="00773C74">
        <w:rPr>
          <w:color w:val="70AD47" w:themeColor="accent6"/>
        </w:rPr>
        <w:t xml:space="preserve"> резонансная частота нах</w:t>
      </w:r>
      <w:bookmarkStart w:id="2" w:name="_GoBack"/>
      <w:bookmarkEnd w:id="2"/>
      <w:r w:rsidR="00773C74" w:rsidRPr="00773C74">
        <w:rPr>
          <w:color w:val="70AD47" w:themeColor="accent6"/>
        </w:rPr>
        <w:t>одится к удвоенной частоте первой гармоники</w:t>
      </w:r>
      <w:r w:rsidR="00773C74">
        <w:rPr>
          <w:color w:val="70AD47" w:themeColor="accent6"/>
        </w:rPr>
        <w:t>, тем больший вклад в потери вносит тот или иной тип колебаний.</w:t>
      </w:r>
    </w:p>
    <w:p w14:paraId="46657C40" w14:textId="41C5FE02" w:rsidR="003A640A" w:rsidRPr="00773C74" w:rsidRDefault="00F934FD" w:rsidP="003A640A">
      <w:pPr>
        <w:pStyle w:val="ab"/>
      </w:pPr>
      <w:r w:rsidRPr="00F934FD">
        <w:rPr>
          <w:color w:val="70AD47" w:themeColor="accent6"/>
        </w:rPr>
        <w:t>Для более качественной оценки воздействия двойных резонансов на потери энергии в наночастице удобно по</w:t>
      </w:r>
      <w:r w:rsidRPr="00F934FD">
        <w:rPr>
          <w:color w:val="70AD47" w:themeColor="accent6"/>
        </w:rPr>
        <w:t>строить не частотную зависимость, а максимальное значение потерь</w:t>
      </w:r>
      <w:r w:rsidRPr="00F934FD">
        <w:rPr>
          <w:color w:val="70AD47" w:themeColor="accent6"/>
        </w:rPr>
        <w:t xml:space="preserve"> от диэлектрической проницаемости внешней среды </w:t>
      </w:r>
      <w:proofErr w:type="spellStart"/>
      <w:r w:rsidRPr="00F934FD">
        <w:rPr>
          <w:color w:val="70AD47" w:themeColor="accent6"/>
          <w:lang w:val="en-US"/>
        </w:rPr>
        <w:t>epsd</w:t>
      </w:r>
      <w:proofErr w:type="spellEnd"/>
      <w:r w:rsidRPr="00F934FD">
        <w:rPr>
          <w:color w:val="70AD47" w:themeColor="accent6"/>
        </w:rPr>
        <w:t xml:space="preserve">. </w:t>
      </w:r>
      <w:r w:rsidRPr="00773C74">
        <w:rPr>
          <w:color w:val="70AD47" w:themeColor="accent6"/>
        </w:rPr>
        <w:t xml:space="preserve">…… # </w:t>
      </w:r>
      <w:proofErr w:type="spellStart"/>
      <w:r w:rsidRPr="00773C74">
        <w:rPr>
          <w:color w:val="70AD47" w:themeColor="accent6"/>
        </w:rPr>
        <w:t>Sodium</w:t>
      </w:r>
      <w:proofErr w:type="spellEnd"/>
      <w:r w:rsidRPr="00773C74">
        <w:rPr>
          <w:color w:val="70AD47" w:themeColor="accent6"/>
        </w:rPr>
        <w:t xml:space="preserve"> </w:t>
      </w:r>
      <w:proofErr w:type="spellStart"/>
      <w:r w:rsidRPr="00773C74">
        <w:rPr>
          <w:color w:val="70AD47" w:themeColor="accent6"/>
        </w:rPr>
        <w:t>cluster</w:t>
      </w:r>
      <w:proofErr w:type="spellEnd"/>
      <w:r w:rsidRPr="00773C74">
        <w:rPr>
          <w:color w:val="70AD47" w:themeColor="accent6"/>
        </w:rPr>
        <w:t xml:space="preserve"> </w:t>
      </w:r>
      <w:proofErr w:type="spellStart"/>
      <w:r w:rsidRPr="00773C74">
        <w:rPr>
          <w:color w:val="70AD47" w:themeColor="accent6"/>
        </w:rPr>
        <w:t>and</w:t>
      </w:r>
      <w:proofErr w:type="spellEnd"/>
      <w:r w:rsidRPr="00773C74">
        <w:rPr>
          <w:color w:val="70AD47" w:themeColor="accent6"/>
        </w:rPr>
        <w:t xml:space="preserve"> </w:t>
      </w:r>
      <w:proofErr w:type="spellStart"/>
      <w:r w:rsidRPr="00773C74">
        <w:rPr>
          <w:color w:val="70AD47" w:themeColor="accent6"/>
        </w:rPr>
        <w:t>field</w:t>
      </w:r>
      <w:proofErr w:type="spellEnd"/>
      <w:r w:rsidRPr="00773C74">
        <w:rPr>
          <w:color w:val="70AD47" w:themeColor="accent6"/>
        </w:rPr>
        <w:t xml:space="preserve"> </w:t>
      </w:r>
      <w:r w:rsidRPr="00773C74">
        <w:rPr>
          <w:color w:val="70AD47" w:themeColor="accent6"/>
          <w:lang w:val="en-US"/>
        </w:rPr>
        <w:t>params</w:t>
      </w:r>
      <w:r w:rsidRPr="00773C74">
        <w:rPr>
          <w:color w:val="70AD47" w:themeColor="accent6"/>
        </w:rPr>
        <w:t xml:space="preserve"> #</w:t>
      </w:r>
    </w:p>
    <w:p w14:paraId="63AE7A6D" w14:textId="37DD83A2" w:rsidR="00F934FD" w:rsidRPr="00F934FD" w:rsidRDefault="00F934FD" w:rsidP="003A640A">
      <w:pPr>
        <w:pStyle w:val="ab"/>
        <w:rPr>
          <w:color w:val="70AD47" w:themeColor="accent6"/>
          <w:lang w:val="en-US"/>
        </w:rPr>
      </w:pPr>
      <w:r w:rsidRPr="00F934FD">
        <w:rPr>
          <w:color w:val="70AD47" w:themeColor="accent6"/>
          <w:lang w:val="en-US"/>
        </w:rPr>
        <w:lastRenderedPageBreak/>
        <w:drawing>
          <wp:inline distT="0" distB="0" distL="0" distR="0" wp14:anchorId="480F9ED0" wp14:editId="14F81275">
            <wp:extent cx="4143375" cy="3130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0602" cy="31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A33" w14:textId="77777777" w:rsidR="00FD2D42" w:rsidRPr="00773C74" w:rsidRDefault="00FD2D42" w:rsidP="00FD2D42">
      <w:pPr>
        <w:pStyle w:val="ab"/>
        <w:rPr>
          <w:color w:val="70AD47" w:themeColor="accent6"/>
        </w:rPr>
      </w:pPr>
      <w:r w:rsidRPr="00773C74">
        <w:rPr>
          <w:bCs/>
          <w:color w:val="70AD47" w:themeColor="accent6"/>
        </w:rPr>
        <w:t>Вывод</w:t>
      </w:r>
    </w:p>
    <w:p w14:paraId="5380914C" w14:textId="78C9307B" w:rsidR="00FD2D42" w:rsidRPr="00773C74" w:rsidRDefault="00FD2D42" w:rsidP="00FD2D42">
      <w:pPr>
        <w:pStyle w:val="ab"/>
        <w:rPr>
          <w:color w:val="70AD47" w:themeColor="accent6"/>
        </w:rPr>
      </w:pPr>
      <w:proofErr w:type="gramStart"/>
      <w:r w:rsidRPr="00773C74">
        <w:rPr>
          <w:color w:val="70AD47" w:themeColor="accent6"/>
        </w:rPr>
        <w:t>….</w:t>
      </w:r>
      <w:proofErr w:type="gramEnd"/>
      <w:r w:rsidRPr="00773C74">
        <w:rPr>
          <w:color w:val="70AD47" w:themeColor="accent6"/>
        </w:rPr>
        <w:t xml:space="preserve"> демонстрируется, что в металлических наноструктурах, таких как сферические наночастицы, возможно возбуждение двойных </w:t>
      </w:r>
      <w:proofErr w:type="spellStart"/>
      <w:r w:rsidRPr="00773C74">
        <w:rPr>
          <w:color w:val="70AD47" w:themeColor="accent6"/>
        </w:rPr>
        <w:t>плазмонных</w:t>
      </w:r>
      <w:proofErr w:type="spellEnd"/>
      <w:r w:rsidRPr="00773C74">
        <w:rPr>
          <w:color w:val="70AD47" w:themeColor="accent6"/>
        </w:rPr>
        <w:t xml:space="preserve"> резонансов, включающих поверхностные плазмоны на основной частоте и объемные плазмоны на удвоенной частоте. Это явление обусловлено нелинейными эффектами, которые усиливаются благодаря резонансным условиям. Результаты показывают, что такие резонансы приводят к увеличению общей мощности поглощения энергии наночастицей, а также могут влиять на уширение спектральных линий. Особый интерес представляет возбуждение монопольных колебаний, которые обычно слабо проявляются в традиционных условиях.</w:t>
      </w:r>
    </w:p>
    <w:p w14:paraId="53A6A12C" w14:textId="5C1E457F" w:rsidR="002075E7" w:rsidRPr="008B4F9B" w:rsidRDefault="002075E7">
      <w:pPr>
        <w:pStyle w:val="ab"/>
      </w:pPr>
    </w:p>
    <w:sectPr w:rsidR="002075E7" w:rsidRPr="008B4F9B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erif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4A6"/>
    <w:rsid w:val="00054C51"/>
    <w:rsid w:val="00064ED3"/>
    <w:rsid w:val="000A7E02"/>
    <w:rsid w:val="001474A6"/>
    <w:rsid w:val="00160BF6"/>
    <w:rsid w:val="002075E7"/>
    <w:rsid w:val="002359FD"/>
    <w:rsid w:val="00281036"/>
    <w:rsid w:val="003A640A"/>
    <w:rsid w:val="00411D5A"/>
    <w:rsid w:val="0046089A"/>
    <w:rsid w:val="00493C23"/>
    <w:rsid w:val="00547DFD"/>
    <w:rsid w:val="005A6D99"/>
    <w:rsid w:val="005F0B08"/>
    <w:rsid w:val="006343F9"/>
    <w:rsid w:val="00670692"/>
    <w:rsid w:val="00686C13"/>
    <w:rsid w:val="006E1790"/>
    <w:rsid w:val="007263B8"/>
    <w:rsid w:val="007626A0"/>
    <w:rsid w:val="00771FBA"/>
    <w:rsid w:val="00773C74"/>
    <w:rsid w:val="00796DCD"/>
    <w:rsid w:val="007C2B0B"/>
    <w:rsid w:val="007E1371"/>
    <w:rsid w:val="008B0A90"/>
    <w:rsid w:val="008B4F9B"/>
    <w:rsid w:val="00A94A7F"/>
    <w:rsid w:val="00BC6E7F"/>
    <w:rsid w:val="00D742C1"/>
    <w:rsid w:val="00DD760D"/>
    <w:rsid w:val="00E020EB"/>
    <w:rsid w:val="00F934FD"/>
    <w:rsid w:val="00FD2D42"/>
    <w:rsid w:val="00FE1CB9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745A"/>
  <w15:docId w15:val="{D2CA5CEC-7050-47A5-8D77-58B715BB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76D95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76D9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05537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055372"/>
    <w:rPr>
      <w:color w:val="605E5C"/>
      <w:shd w:val="clear" w:color="auto" w:fill="E1DFDD"/>
    </w:rPr>
  </w:style>
  <w:style w:type="character" w:customStyle="1" w:styleId="a8">
    <w:name w:val="Обычный_текст Знак"/>
    <w:basedOn w:val="a0"/>
    <w:link w:val="a9"/>
    <w:qFormat/>
    <w:rsid w:val="00F14AAD"/>
    <w:rPr>
      <w:rFonts w:ascii="Times New Roman" w:hAnsi="Times New Roman" w:cs="Times New Roman"/>
      <w:color w:val="000000"/>
      <w:sz w:val="28"/>
      <w:szCs w:val="28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Source Han Serif CN" w:hAnsi="Liberation Sans" w:cs="FreeSans"/>
      <w:szCs w:val="28"/>
    </w:rPr>
  </w:style>
  <w:style w:type="paragraph" w:styleId="ab">
    <w:name w:val="Body Text"/>
    <w:basedOn w:val="a"/>
    <w:link w:val="ac"/>
    <w:pPr>
      <w:spacing w:after="140" w:line="276" w:lineRule="auto"/>
    </w:pPr>
  </w:style>
  <w:style w:type="paragraph" w:styleId="ad">
    <w:name w:val="List"/>
    <w:basedOn w:val="ab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customStyle="1" w:styleId="a9">
    <w:name w:val="Обычный_текст"/>
    <w:basedOn w:val="a"/>
    <w:link w:val="a8"/>
    <w:autoRedefine/>
    <w:qFormat/>
    <w:rsid w:val="00F14AAD"/>
    <w:pPr>
      <w:spacing w:after="0" w:line="360" w:lineRule="auto"/>
      <w:ind w:firstLine="420"/>
      <w:contextualSpacing/>
      <w:jc w:val="both"/>
    </w:pPr>
    <w:rPr>
      <w:rFonts w:cs="Times New Roman"/>
      <w:color w:val="000000"/>
      <w:szCs w:val="28"/>
    </w:rPr>
  </w:style>
  <w:style w:type="numbering" w:customStyle="1" w:styleId="af0">
    <w:name w:val="Без списка"/>
    <w:uiPriority w:val="99"/>
    <w:semiHidden/>
    <w:unhideWhenUsed/>
    <w:qFormat/>
  </w:style>
  <w:style w:type="character" w:customStyle="1" w:styleId="ac">
    <w:name w:val="Основной текст Знак"/>
    <w:basedOn w:val="a0"/>
    <w:link w:val="ab"/>
    <w:rsid w:val="003A640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ip/jcp/article/152/9/094706/10631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journals.aps.org/prb/abstract/10.1103/PhysRevB.93.03541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pubs.aip.org/aip/jap/article/115/8/083106/373503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opg.optica.org/abstract.cfm?uri=oe-24-3-236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pubs.acs.org/doi/abs/10.1021/acsphotonics.0c01747" TargetMode="External"/><Relationship Id="rId9" Type="http://schemas.openxmlformats.org/officeDocument/2006/relationships/hyperlink" Target="https://journals.aps.org/prb/abstract/10.1103/PhysRevB.90.0354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7949</TotalTime>
  <Pages>10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Мирослав Удалов</cp:lastModifiedBy>
  <cp:revision>22</cp:revision>
  <dcterms:created xsi:type="dcterms:W3CDTF">2024-11-22T13:23:00Z</dcterms:created>
  <dcterms:modified xsi:type="dcterms:W3CDTF">2025-03-31T20:46:00Z</dcterms:modified>
  <dc:language>ru-RU</dc:language>
</cp:coreProperties>
</file>