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140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1714500"/>
                    </a:xfrm>
                    <a:prstGeom prst="rect">
                      <a:avLst/>
                    </a:prstGeom>
                  </pic:spPr>
                </pic:pic>
              </a:graphicData>
            </a:graphic>
          </wp:inline>
        </w:drawing>
      </w:r>
    </w:p>
    <w:p>
      <w:pPr>
        <w:spacing w:after="120"/>
        <w:jc w:val="center"/>
      </w:pPr>
      <w:r>
        <w:rPr>
          <w:rFonts w:ascii="Times New Roman" w:cs="Times New Roman" w:eastAsia="Times New Roman" w:hAnsi="Times New Roman"/>
          <w:smallCaps/>
          <w:spacing w:val="60"/>
          <w:sz w:val="88"/>
          <w:szCs w:val="88"/>
        </w:rPr>
        <w:t xml:space="preserve">Smernica</w:t>
      </w:r>
    </w:p>
    <w:p>
      <w:pPr>
        <w:spacing w:after="300"/>
        <w:jc w:val="center"/>
      </w:pPr>
      <w:r>
        <w:rPr>
          <w:rFonts w:ascii="Times New Roman" w:cs="Times New Roman" w:eastAsia="Times New Roman" w:hAnsi="Times New Roman"/>
          <w:smallCaps/>
          <w:spacing w:val="40"/>
          <w:sz w:val="44"/>
          <w:szCs w:val="44"/>
        </w:rPr>
        <w:t xml:space="preserve">o certifikácii a činnosti rozhodcov</w:t>
      </w:r>
    </w:p>
    <w:p>
      <w:pPr>
        <w:spacing w:after="400"/>
        <w:jc w:val="center"/>
      </w:pPr>
      <w:r>
        <w:rPr>
          <w:rFonts w:ascii="Times New Roman" w:cs="Times New Roman" w:eastAsia="Times New Roman" w:hAnsi="Times New Roman"/>
          <w:smallCaps/>
          <w:color w:val="333333"/>
          <w:spacing w:val="80"/>
          <w:sz w:val="56"/>
          <w:szCs w:val="56"/>
        </w:rPr>
        <w:t xml:space="preserve">FEBUS</w:t>
      </w:r>
    </w:p>
    <w:p>
      <w:pPr>
        <w:spacing w:after="1600"/>
        <w:jc w:val="center"/>
      </w:pPr>
      <w:r>
        <w:rPr>
          <w:rFonts w:ascii="Times New Roman" w:cs="Times New Roman" w:eastAsia="Times New Roman" w:hAnsi="Times New Roman"/>
          <w:color w:val="666666"/>
          <w:sz w:val="36"/>
          <w:szCs w:val="36"/>
        </w:rPr>
        <w:t xml:space="preserve">❦</w:t>
      </w:r>
    </w:p>
    <w:p>
      <w:pPr>
        <w:spacing w:after="100"/>
        <w:jc w:val="center"/>
      </w:pPr>
      <w:r>
        <w:rPr>
          <w:rFonts w:ascii="Times New Roman" w:cs="Times New Roman" w:eastAsia="Times New Roman" w:hAnsi="Times New Roman"/>
          <w:smallCaps/>
          <w:color w:val="555555"/>
          <w:spacing w:val="20"/>
          <w:sz w:val="24"/>
          <w:szCs w:val="24"/>
        </w:rPr>
        <w:t xml:space="preserve">Návrh na pripomienkovanie</w:t>
      </w:r>
    </w:p>
    <w:p>
      <w:pPr>
        <w:spacing w:after="200"/>
        <w:jc w:val="center"/>
      </w:pPr>
      <w:r>
        <w:rPr>
          <w:rFonts w:ascii="Times New Roman" w:cs="Times New Roman" w:eastAsia="Times New Roman" w:hAnsi="Times New Roman"/>
          <w:color w:val="666666"/>
          <w:sz w:val="22"/>
          <w:szCs w:val="22"/>
        </w:rPr>
        <w:t xml:space="preserve">Verzia 0.1 — 24. júla 2026</w:t>
      </w:r>
    </w:p>
    <w:p>
      <w:pPr>
        <w:spacing w:after="100"/>
        <w:jc w:val="center"/>
      </w:pPr>
      <w:r>
        <w:rPr>
          <w:rFonts w:ascii="Times New Roman" w:cs="Times New Roman" w:eastAsia="Times New Roman" w:hAnsi="Times New Roman"/>
          <w:color w:val="777777"/>
          <w:sz w:val="20"/>
          <w:szCs w:val="20"/>
        </w:rPr>
        <w:t xml:space="preserve">Schvaľuje: Prezídium FEBUS · Predkladá: Rozhodcovská pracovná skupina</w:t>
      </w:r>
    </w:p>
    <w:p>
      <w:pPr>
        <w:spacing w:after="0"/>
        <w:jc w:val="center"/>
      </w:pPr>
      <w:r>
        <w:rPr>
          <w:rFonts w:ascii="Times New Roman" w:cs="Times New Roman" w:eastAsia="Times New Roman" w:hAnsi="Times New Roman"/>
          <w:i/>
          <w:iCs/>
          <w:color w:val="777777"/>
          <w:sz w:val="20"/>
          <w:szCs w:val="20"/>
        </w:rPr>
        <w:t xml:space="preserve">Federácia Európskych Bojových Umení Slovenska</w:t>
      </w:r>
    </w:p>
    <w:p>
      <w:r>
        <w:br w:type="page"/>
      </w:r>
    </w:p>
    <w:p>
      <w:pPr>
        <w:keepNext/>
        <w:spacing w:after="180" w:before="360" w:line="336"/>
        <w:jc w:val="left"/>
      </w:pPr>
      <w:r>
        <w:rPr>
          <w:rFonts w:ascii="Times New Roman" w:cs="Times New Roman" w:eastAsia="Times New Roman" w:hAnsi="Times New Roman"/>
          <w:b/>
          <w:bCs/>
          <w:sz w:val="30"/>
          <w:szCs w:val="30"/>
        </w:rPr>
        <w:t xml:space="preserve">Čl. 1 — Úvodné ustanovenia</w:t>
      </w:r>
    </w:p>
    <w:p>
      <w:pPr>
        <w:pStyle w:val="ListParagraph"/>
        <w:numPr>
          <w:ilvl w:val="0"/>
          <w:numId w:val="2"/>
        </w:numPr>
        <w:spacing w:after="60" w:line="336"/>
        <w:jc w:val="both"/>
      </w:pPr>
      <w:r>
        <w:rPr>
          <w:rFonts w:ascii="Times New Roman" w:cs="Times New Roman" w:eastAsia="Times New Roman" w:hAnsi="Times New Roman"/>
          <w:sz w:val="22"/>
          <w:szCs w:val="22"/>
        </w:rPr>
        <w:t xml:space="preserve">Táto smernica upravuje systém certifikácie rozhodcov FEBUS. Zriaďuje Rozhodcovskú komisiu, vymedzuje stupne rozhodcovských licencií, podmienky ich získania, obnovy, pozastavenia a odňatia a upravuje vedenie registra rozhodcov.</w:t>
      </w:r>
    </w:p>
    <w:p>
      <w:pPr>
        <w:pStyle w:val="ListParagraph"/>
        <w:numPr>
          <w:ilvl w:val="0"/>
          <w:numId w:val="2"/>
        </w:numPr>
        <w:spacing w:after="60" w:line="336"/>
        <w:jc w:val="both"/>
      </w:pPr>
      <w:r>
        <w:rPr>
          <w:rFonts w:ascii="Times New Roman" w:cs="Times New Roman" w:eastAsia="Times New Roman" w:hAnsi="Times New Roman"/>
          <w:sz w:val="22"/>
          <w:szCs w:val="22"/>
        </w:rPr>
        <w:t xml:space="preserve">Smernica sa vzťahuje na všetky turnaje a podujatia konané pod záštitou FEBUS.</w:t>
      </w:r>
    </w:p>
    <w:p>
      <w:pPr>
        <w:pStyle w:val="ListParagraph"/>
        <w:numPr>
          <w:ilvl w:val="0"/>
          <w:numId w:val="2"/>
        </w:numPr>
        <w:spacing w:after="60" w:line="336"/>
        <w:jc w:val="both"/>
      </w:pPr>
      <w:r>
        <w:rPr>
          <w:rFonts w:ascii="Times New Roman" w:cs="Times New Roman" w:eastAsia="Times New Roman" w:hAnsi="Times New Roman"/>
          <w:sz w:val="22"/>
          <w:szCs w:val="22"/>
        </w:rPr>
        <w:t xml:space="preserve">Smernicu a jej zmeny schvaľuje Prezídium FEBUS.</w:t>
      </w:r>
    </w:p>
    <w:p>
      <w:pPr>
        <w:pStyle w:val="ListParagraph"/>
        <w:numPr>
          <w:ilvl w:val="0"/>
          <w:numId w:val="2"/>
        </w:numPr>
        <w:spacing w:after="60" w:line="336"/>
        <w:jc w:val="both"/>
      </w:pPr>
      <w:r>
        <w:rPr>
          <w:rFonts w:ascii="Times New Roman" w:cs="Times New Roman" w:eastAsia="Times New Roman" w:hAnsi="Times New Roman"/>
          <w:sz w:val="22"/>
          <w:szCs w:val="22"/>
        </w:rPr>
        <w:t xml:space="preserve">Pojmy </w:t>
      </w:r>
      <w:r>
        <w:rPr>
          <w:rFonts w:ascii="Times New Roman" w:cs="Times New Roman" w:eastAsia="Times New Roman" w:hAnsi="Times New Roman"/>
          <w:i/>
          <w:iCs/>
          <w:sz w:val="22"/>
          <w:szCs w:val="22"/>
        </w:rPr>
        <w:t xml:space="preserve">hlavný rozhodca</w:t>
      </w:r>
      <w:r>
        <w:rPr>
          <w:rFonts w:ascii="Times New Roman" w:cs="Times New Roman" w:eastAsia="Times New Roman" w:hAnsi="Times New Roman"/>
          <w:sz w:val="22"/>
          <w:szCs w:val="22"/>
        </w:rPr>
        <w:t xml:space="preserve"> a </w:t>
      </w:r>
      <w:r>
        <w:rPr>
          <w:rFonts w:ascii="Times New Roman" w:cs="Times New Roman" w:eastAsia="Times New Roman" w:hAnsi="Times New Roman"/>
          <w:i/>
          <w:iCs/>
          <w:sz w:val="22"/>
          <w:szCs w:val="22"/>
        </w:rPr>
        <w:t xml:space="preserve">postranný rozhodca</w:t>
      </w:r>
      <w:r>
        <w:rPr>
          <w:rFonts w:ascii="Times New Roman" w:cs="Times New Roman" w:eastAsia="Times New Roman" w:hAnsi="Times New Roman"/>
          <w:sz w:val="22"/>
          <w:szCs w:val="22"/>
        </w:rPr>
        <w:t xml:space="preserve"> zodpovedajú pojmom </w:t>
      </w:r>
      <w:r>
        <w:rPr>
          <w:rFonts w:ascii="Times New Roman" w:cs="Times New Roman" w:eastAsia="Times New Roman" w:hAnsi="Times New Roman"/>
          <w:i/>
          <w:iCs/>
          <w:sz w:val="22"/>
          <w:szCs w:val="22"/>
        </w:rPr>
        <w:t xml:space="preserve">Main Referee</w:t>
      </w:r>
      <w:r>
        <w:rPr>
          <w:rFonts w:ascii="Times New Roman" w:cs="Times New Roman" w:eastAsia="Times New Roman" w:hAnsi="Times New Roman"/>
          <w:sz w:val="22"/>
          <w:szCs w:val="22"/>
        </w:rPr>
        <w:t xml:space="preserve"> a </w:t>
      </w:r>
      <w:r>
        <w:rPr>
          <w:rFonts w:ascii="Times New Roman" w:cs="Times New Roman" w:eastAsia="Times New Roman" w:hAnsi="Times New Roman"/>
          <w:i/>
          <w:iCs/>
          <w:sz w:val="22"/>
          <w:szCs w:val="22"/>
        </w:rPr>
        <w:t xml:space="preserve">Side Referee</w:t>
      </w:r>
      <w:r>
        <w:rPr>
          <w:rFonts w:ascii="Times New Roman" w:cs="Times New Roman" w:eastAsia="Times New Roman" w:hAnsi="Times New Roman"/>
          <w:sz w:val="22"/>
          <w:szCs w:val="22"/>
        </w:rPr>
        <w:t xml:space="preserve"> podľa pravidiel FEBUS (Organisational Rules). Táto smernica pravidlá FEBUS nemení ani nedopĺňa.</w:t>
      </w:r>
    </w:p>
    <w:p>
      <w:pPr>
        <w:keepNext/>
        <w:spacing w:after="180" w:before="360" w:line="336"/>
        <w:jc w:val="left"/>
      </w:pPr>
      <w:r>
        <w:rPr>
          <w:rFonts w:ascii="Times New Roman" w:cs="Times New Roman" w:eastAsia="Times New Roman" w:hAnsi="Times New Roman"/>
          <w:b/>
          <w:bCs/>
          <w:sz w:val="30"/>
          <w:szCs w:val="30"/>
        </w:rPr>
        <w:t xml:space="preserve">Čl. 2 — Vymedzenie pojmov</w:t>
      </w:r>
    </w:p>
    <w:p>
      <w:pPr>
        <w:spacing w:after="160" w:line="336"/>
        <w:jc w:val="both"/>
      </w:pPr>
      <w:r>
        <w:rPr>
          <w:rFonts w:ascii="Times New Roman" w:cs="Times New Roman" w:eastAsia="Times New Roman" w:hAnsi="Times New Roman"/>
          <w:sz w:val="22"/>
          <w:szCs w:val="22"/>
        </w:rPr>
        <w:t xml:space="preserve">Na účely tejto smernice:</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Rozhodca</w:t>
      </w:r>
      <w:r>
        <w:rPr>
          <w:rFonts w:ascii="Times New Roman" w:cs="Times New Roman" w:eastAsia="Times New Roman" w:hAnsi="Times New Roman"/>
          <w:sz w:val="22"/>
          <w:szCs w:val="22"/>
        </w:rPr>
        <w:t xml:space="preserve"> je osoba zapísaná v registri rozhodcov s platnou licenciou podľa tejto smernice.</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Hlavný rozhodca</w:t>
      </w:r>
      <w:r>
        <w:rPr>
          <w:rFonts w:ascii="Times New Roman" w:cs="Times New Roman" w:eastAsia="Times New Roman" w:hAnsi="Times New Roman"/>
          <w:sz w:val="22"/>
          <w:szCs w:val="22"/>
        </w:rPr>
        <w:t xml:space="preserve"> vedie zápas, riadi čas a protokol, prideľuje body a popisuje priebeh výmen.</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Postranný rozhodca</w:t>
      </w:r>
      <w:r>
        <w:rPr>
          <w:rFonts w:ascii="Times New Roman" w:cs="Times New Roman" w:eastAsia="Times New Roman" w:hAnsi="Times New Roman"/>
          <w:sz w:val="22"/>
          <w:szCs w:val="22"/>
        </w:rPr>
        <w:t xml:space="preserve"> (asistent) pomáha hlavnému rozhodcovi pri hodnotení zásahov z iného uhla pohľadu.</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Koordinátor rozhodcov turnaja</w:t>
      </w:r>
      <w:r>
        <w:rPr>
          <w:rFonts w:ascii="Times New Roman" w:cs="Times New Roman" w:eastAsia="Times New Roman" w:hAnsi="Times New Roman"/>
          <w:sz w:val="22"/>
          <w:szCs w:val="22"/>
        </w:rPr>
        <w:t xml:space="preserve"> je osoba zodpovedná za nasadenie a výkon rozhodcov na turnaji (v pravidlách FEBUS </w:t>
      </w:r>
      <w:r>
        <w:rPr>
          <w:rFonts w:ascii="Times New Roman" w:cs="Times New Roman" w:eastAsia="Times New Roman" w:hAnsi="Times New Roman"/>
          <w:i/>
          <w:iCs/>
          <w:sz w:val="22"/>
          <w:szCs w:val="22"/>
        </w:rPr>
        <w:t xml:space="preserve">head of the Refereeing Team</w:t>
      </w:r>
      <w:r>
        <w:rPr>
          <w:rFonts w:ascii="Times New Roman" w:cs="Times New Roman" w:eastAsia="Times New Roman" w:hAnsi="Times New Roman"/>
          <w:sz w:val="22"/>
          <w:szCs w:val="22"/>
        </w:rPr>
        <w:t xml:space="preserve">).</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Oficiálna rozhodcovská činnosť</w:t>
      </w:r>
      <w:r>
        <w:rPr>
          <w:rFonts w:ascii="Times New Roman" w:cs="Times New Roman" w:eastAsia="Times New Roman" w:hAnsi="Times New Roman"/>
          <w:sz w:val="22"/>
          <w:szCs w:val="22"/>
        </w:rPr>
        <w:t xml:space="preserve"> je výkon funkcie hlavného alebo postranného rozhodcu na turnaji FEBUS, účasť na rozhodcovskom seminári FEBUS alebo výkon funkcie hodnotiteľa na rozhodcovských skúškach.</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Rozhodcovský seminár</w:t>
      </w:r>
      <w:r>
        <w:rPr>
          <w:rFonts w:ascii="Times New Roman" w:cs="Times New Roman" w:eastAsia="Times New Roman" w:hAnsi="Times New Roman"/>
          <w:sz w:val="22"/>
          <w:szCs w:val="22"/>
        </w:rPr>
        <w:t xml:space="preserve"> je vzdelávacie podujatie organizované Rozhodcovskou komisiou, zamerané na výklad pravidiel, ich zmeny a rozbor sporných situácií.</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Školenie rozhodcov</w:t>
      </w:r>
      <w:r>
        <w:rPr>
          <w:rFonts w:ascii="Times New Roman" w:cs="Times New Roman" w:eastAsia="Times New Roman" w:hAnsi="Times New Roman"/>
          <w:sz w:val="22"/>
          <w:szCs w:val="22"/>
        </w:rPr>
        <w:t xml:space="preserve"> je vzdelávacie podujatie organizované Rozhodcovskou komisiou pre uchádzačov o licenciu C, zamerané na výklad pravidiel FEBUS, metodiku rozhodovania, priestupky a tresty a kontrolu výstroja.</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Zbraň s právom útoku</w:t>
      </w:r>
      <w:r>
        <w:rPr>
          <w:rFonts w:ascii="Times New Roman" w:cs="Times New Roman" w:eastAsia="Times New Roman" w:hAnsi="Times New Roman"/>
          <w:sz w:val="22"/>
          <w:szCs w:val="22"/>
        </w:rPr>
        <w:t xml:space="preserve"> je zbraň, pri ktorej sa podľa pravidiel FEBUS uplatňuje systém priority (right of way) — dlhý meč a šabľa.</w:t>
      </w:r>
    </w:p>
    <w:p>
      <w:pPr>
        <w:pStyle w:val="ListParagraph"/>
        <w:numPr>
          <w:ilvl w:val="0"/>
          <w:numId w:val="3"/>
        </w:numPr>
        <w:spacing w:after="60" w:line="336"/>
        <w:jc w:val="both"/>
      </w:pPr>
      <w:r>
        <w:rPr>
          <w:rFonts w:ascii="Times New Roman" w:cs="Times New Roman" w:eastAsia="Times New Roman" w:hAnsi="Times New Roman"/>
          <w:b/>
          <w:bCs/>
          <w:sz w:val="22"/>
          <w:szCs w:val="22"/>
        </w:rPr>
        <w:t xml:space="preserve">Register rozhodcov</w:t>
      </w:r>
      <w:r>
        <w:rPr>
          <w:rFonts w:ascii="Times New Roman" w:cs="Times New Roman" w:eastAsia="Times New Roman" w:hAnsi="Times New Roman"/>
          <w:sz w:val="22"/>
          <w:szCs w:val="22"/>
        </w:rPr>
        <w:t xml:space="preserve"> je evidencia rozhodcov vedená Rozhodcovskou komisiou podľa čl. 10.</w:t>
      </w:r>
    </w:p>
    <w:p>
      <w:pPr>
        <w:keepNext/>
        <w:spacing w:after="180" w:before="360" w:line="336"/>
        <w:jc w:val="left"/>
      </w:pPr>
      <w:r>
        <w:rPr>
          <w:rFonts w:ascii="Times New Roman" w:cs="Times New Roman" w:eastAsia="Times New Roman" w:hAnsi="Times New Roman"/>
          <w:b/>
          <w:bCs/>
          <w:sz w:val="30"/>
          <w:szCs w:val="30"/>
        </w:rPr>
        <w:t xml:space="preserve">Čl. 3 — Rozhodcovská komisia</w:t>
      </w:r>
    </w:p>
    <w:p>
      <w:pPr>
        <w:pStyle w:val="ListParagraph"/>
        <w:numPr>
          <w:ilvl w:val="0"/>
          <w:numId w:val="4"/>
        </w:numPr>
        <w:spacing w:after="60" w:line="336"/>
        <w:jc w:val="both"/>
      </w:pPr>
      <w:r>
        <w:rPr>
          <w:rFonts w:ascii="Times New Roman" w:cs="Times New Roman" w:eastAsia="Times New Roman" w:hAnsi="Times New Roman"/>
          <w:sz w:val="22"/>
          <w:szCs w:val="22"/>
        </w:rPr>
        <w:t xml:space="preserve">Zriaďuje sa Rozhodcovská komisia (ďalej „Komisia“) ako odborný orgán FEBUS pre rozhodcovskú agendu.</w:t>
      </w:r>
    </w:p>
    <w:p>
      <w:pPr>
        <w:pStyle w:val="ListParagraph"/>
        <w:numPr>
          <w:ilvl w:val="0"/>
          <w:numId w:val="4"/>
        </w:numPr>
        <w:spacing w:after="60" w:line="336"/>
        <w:jc w:val="both"/>
      </w:pPr>
      <w:r>
        <w:rPr>
          <w:rFonts w:ascii="Times New Roman" w:cs="Times New Roman" w:eastAsia="Times New Roman" w:hAnsi="Times New Roman"/>
          <w:sz w:val="22"/>
          <w:szCs w:val="22"/>
        </w:rPr>
        <w:t xml:space="preserve">Komisia má troch až piatich členov. Členov menuje a odvoláva Prezídium FEBUS spomedzi držiteľov platnej licencie A. Funkčné obdobie člena je tri roky; opätovné menovanie je možné.</w:t>
      </w:r>
    </w:p>
    <w:p>
      <w:pPr>
        <w:pStyle w:val="ListParagraph"/>
        <w:numPr>
          <w:ilvl w:val="0"/>
          <w:numId w:val="4"/>
        </w:numPr>
        <w:spacing w:after="60" w:line="336"/>
        <w:jc w:val="both"/>
      </w:pPr>
      <w:r>
        <w:rPr>
          <w:rFonts w:ascii="Times New Roman" w:cs="Times New Roman" w:eastAsia="Times New Roman" w:hAnsi="Times New Roman"/>
          <w:sz w:val="22"/>
          <w:szCs w:val="22"/>
        </w:rPr>
        <w:t xml:space="preserve">Komisia si spomedzi svojich členov volí predsedu, ktorý zvoláva a vedie jej zasadnutia a zastupuje Komisiu navonok.</w:t>
      </w:r>
    </w:p>
    <w:p>
      <w:pPr>
        <w:pStyle w:val="ListParagraph"/>
        <w:numPr>
          <w:ilvl w:val="0"/>
          <w:numId w:val="4"/>
        </w:numPr>
        <w:spacing w:after="60" w:line="336"/>
        <w:jc w:val="both"/>
      </w:pPr>
      <w:r>
        <w:rPr>
          <w:rFonts w:ascii="Times New Roman" w:cs="Times New Roman" w:eastAsia="Times New Roman" w:hAnsi="Times New Roman"/>
          <w:sz w:val="22"/>
          <w:szCs w:val="22"/>
        </w:rPr>
        <w:t xml:space="preserve">Komisia je uznášaniaschopná za prítomnosti nadpolovičnej väčšiny všetkých členov. Rozhoduje nadpolovičnou väčšinou prítomných členov, ak táto smernica neustanovuje inak. Člen Komisie nehlasuje vo veci vlastnej licencie ani vo veci sťažnosti, ktorá sa ho týka.</w:t>
      </w:r>
    </w:p>
    <w:p>
      <w:pPr>
        <w:pStyle w:val="ListParagraph"/>
        <w:numPr>
          <w:ilvl w:val="0"/>
          <w:numId w:val="4"/>
        </w:numPr>
        <w:spacing w:after="60" w:line="336"/>
        <w:jc w:val="both"/>
      </w:pPr>
      <w:r>
        <w:rPr>
          <w:rFonts w:ascii="Times New Roman" w:cs="Times New Roman" w:eastAsia="Times New Roman" w:hAnsi="Times New Roman"/>
          <w:sz w:val="22"/>
          <w:szCs w:val="22"/>
        </w:rPr>
        <w:t xml:space="preserve">Úlohy Komisie:</w:t>
      </w:r>
    </w:p>
    <w:p>
      <w:pPr>
        <w:pStyle w:val="ListParagraph"/>
        <w:numPr>
          <w:ilvl w:val="1"/>
          <w:numId w:val="4"/>
        </w:numPr>
        <w:spacing w:after="60" w:line="336"/>
        <w:jc w:val="both"/>
      </w:pPr>
      <w:r>
        <w:rPr>
          <w:rFonts w:ascii="Times New Roman" w:cs="Times New Roman" w:eastAsia="Times New Roman" w:hAnsi="Times New Roman"/>
          <w:sz w:val="22"/>
          <w:szCs w:val="22"/>
        </w:rPr>
        <w:t xml:space="preserve">organizovať rozhodcovské skúšky a školenia rozhodcov najmenej raz ročne,</w:t>
      </w:r>
    </w:p>
    <w:p>
      <w:pPr>
        <w:pStyle w:val="ListParagraph"/>
        <w:numPr>
          <w:ilvl w:val="1"/>
          <w:numId w:val="4"/>
        </w:numPr>
        <w:spacing w:after="60" w:line="336"/>
        <w:jc w:val="both"/>
      </w:pPr>
      <w:r>
        <w:rPr>
          <w:rFonts w:ascii="Times New Roman" w:cs="Times New Roman" w:eastAsia="Times New Roman" w:hAnsi="Times New Roman"/>
          <w:sz w:val="22"/>
          <w:szCs w:val="22"/>
        </w:rPr>
        <w:t xml:space="preserve">organizovať rozhodcovské semináre, spravidla po každej zmene pravidiel FEBUS,</w:t>
      </w:r>
    </w:p>
    <w:p>
      <w:pPr>
        <w:pStyle w:val="ListParagraph"/>
        <w:numPr>
          <w:ilvl w:val="1"/>
          <w:numId w:val="4"/>
        </w:numPr>
        <w:spacing w:after="60" w:line="336"/>
        <w:jc w:val="both"/>
      </w:pPr>
      <w:r>
        <w:rPr>
          <w:rFonts w:ascii="Times New Roman" w:cs="Times New Roman" w:eastAsia="Times New Roman" w:hAnsi="Times New Roman"/>
          <w:sz w:val="22"/>
          <w:szCs w:val="22"/>
        </w:rPr>
        <w:t xml:space="preserve">viesť register rozhodcov a udeľovať, obnovovať, pozastavovať a odnímať licencie,</w:t>
      </w:r>
    </w:p>
    <w:p>
      <w:pPr>
        <w:pStyle w:val="ListParagraph"/>
        <w:numPr>
          <w:ilvl w:val="1"/>
          <w:numId w:val="4"/>
        </w:numPr>
        <w:spacing w:after="60" w:line="336"/>
        <w:jc w:val="both"/>
      </w:pPr>
      <w:r>
        <w:rPr>
          <w:rFonts w:ascii="Times New Roman" w:cs="Times New Roman" w:eastAsia="Times New Roman" w:hAnsi="Times New Roman"/>
          <w:sz w:val="22"/>
          <w:szCs w:val="22"/>
        </w:rPr>
        <w:t xml:space="preserve">sprístupňovať výpisy z registra organizátorom turnajov FEBUS,</w:t>
      </w:r>
    </w:p>
    <w:p>
      <w:pPr>
        <w:pStyle w:val="ListParagraph"/>
        <w:numPr>
          <w:ilvl w:val="1"/>
          <w:numId w:val="4"/>
        </w:numPr>
        <w:spacing w:after="60" w:line="336"/>
        <w:jc w:val="both"/>
      </w:pPr>
      <w:r>
        <w:rPr>
          <w:rFonts w:ascii="Times New Roman" w:cs="Times New Roman" w:eastAsia="Times New Roman" w:hAnsi="Times New Roman"/>
          <w:sz w:val="22"/>
          <w:szCs w:val="22"/>
        </w:rPr>
        <w:t xml:space="preserve">prijímať a prerokúvať sťažnosti na rozhodcov,</w:t>
      </w:r>
    </w:p>
    <w:p>
      <w:pPr>
        <w:pStyle w:val="ListParagraph"/>
        <w:numPr>
          <w:ilvl w:val="1"/>
          <w:numId w:val="4"/>
        </w:numPr>
        <w:spacing w:after="60" w:line="336"/>
        <w:jc w:val="both"/>
      </w:pPr>
      <w:r>
        <w:rPr>
          <w:rFonts w:ascii="Times New Roman" w:cs="Times New Roman" w:eastAsia="Times New Roman" w:hAnsi="Times New Roman"/>
          <w:sz w:val="22"/>
          <w:szCs w:val="22"/>
        </w:rPr>
        <w:t xml:space="preserve">predkladať Prezídiu návrhy na zmeny pravidiel FEBUS, tejto smernice a skúšobného poriadku,</w:t>
      </w:r>
    </w:p>
    <w:p>
      <w:pPr>
        <w:pStyle w:val="ListParagraph"/>
        <w:numPr>
          <w:ilvl w:val="1"/>
          <w:numId w:val="4"/>
        </w:numPr>
        <w:spacing w:after="60" w:line="336"/>
        <w:jc w:val="both"/>
      </w:pPr>
      <w:r>
        <w:rPr>
          <w:rFonts w:ascii="Times New Roman" w:cs="Times New Roman" w:eastAsia="Times New Roman" w:hAnsi="Times New Roman"/>
          <w:sz w:val="22"/>
          <w:szCs w:val="22"/>
        </w:rPr>
        <w:t xml:space="preserve">vydávať vzory hodnotiacich hárkov a metodické materiály pre rozhodcov,</w:t>
      </w:r>
    </w:p>
    <w:p>
      <w:pPr>
        <w:pStyle w:val="ListParagraph"/>
        <w:numPr>
          <w:ilvl w:val="1"/>
          <w:numId w:val="4"/>
        </w:numPr>
        <w:spacing w:after="60" w:line="336"/>
        <w:jc w:val="both"/>
      </w:pPr>
      <w:r>
        <w:rPr>
          <w:rFonts w:ascii="Times New Roman" w:cs="Times New Roman" w:eastAsia="Times New Roman" w:hAnsi="Times New Roman"/>
          <w:sz w:val="22"/>
          <w:szCs w:val="22"/>
        </w:rPr>
        <w:t xml:space="preserve">raz ročne predložiť Prezídiu súhrnnú správu o činnosti: počty rozhodcov podľa stupňov licencií, nasadenia na turnajoch, vykonané skúšky, školenia a semináre s výsledkami, prijaté sťažnosti a uložené opatrenia.</w:t>
      </w:r>
    </w:p>
    <w:p>
      <w:pPr>
        <w:pStyle w:val="ListParagraph"/>
        <w:numPr>
          <w:ilvl w:val="0"/>
          <w:numId w:val="4"/>
        </w:numPr>
        <w:spacing w:after="60" w:line="336"/>
        <w:jc w:val="both"/>
      </w:pPr>
      <w:r>
        <w:rPr>
          <w:rFonts w:ascii="Times New Roman" w:cs="Times New Roman" w:eastAsia="Times New Roman" w:hAnsi="Times New Roman"/>
          <w:sz w:val="22"/>
          <w:szCs w:val="22"/>
        </w:rPr>
        <w:t xml:space="preserve">Komisia nemá právomoc meniť pravidlá FEBUS ani organizačné dokumenty FEBUS; voči Prezídiu má postavenie poradného orgánu.</w:t>
      </w:r>
    </w:p>
    <w:p>
      <w:pPr>
        <w:keepNext/>
        <w:spacing w:after="180" w:before="360" w:line="336"/>
        <w:jc w:val="left"/>
      </w:pPr>
      <w:r>
        <w:rPr>
          <w:rFonts w:ascii="Times New Roman" w:cs="Times New Roman" w:eastAsia="Times New Roman" w:hAnsi="Times New Roman"/>
          <w:b/>
          <w:bCs/>
          <w:sz w:val="30"/>
          <w:szCs w:val="30"/>
        </w:rPr>
        <w:t xml:space="preserve">Čl. 4 — Systém licencií, práva a povinnosti rozhodcov</w:t>
      </w:r>
    </w:p>
    <w:p>
      <w:pPr>
        <w:pStyle w:val="ListParagraph"/>
        <w:numPr>
          <w:ilvl w:val="0"/>
          <w:numId w:val="5"/>
        </w:numPr>
        <w:spacing w:after="60" w:line="336"/>
        <w:jc w:val="both"/>
      </w:pPr>
      <w:r>
        <w:rPr>
          <w:rFonts w:ascii="Times New Roman" w:cs="Times New Roman" w:eastAsia="Times New Roman" w:hAnsi="Times New Roman"/>
          <w:sz w:val="22"/>
          <w:szCs w:val="22"/>
        </w:rPr>
        <w:t xml:space="preserve">Zavádzajú sa tri stupne rozhodcovských licencií, vzostupne: </w:t>
      </w:r>
      <w:r>
        <w:rPr>
          <w:rFonts w:ascii="Times New Roman" w:cs="Times New Roman" w:eastAsia="Times New Roman" w:hAnsi="Times New Roman"/>
          <w:b/>
          <w:bCs/>
          <w:sz w:val="22"/>
          <w:szCs w:val="22"/>
        </w:rPr>
        <w:t xml:space="preserve">licencia 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licencia B</w:t>
      </w:r>
      <w:r>
        <w:rPr>
          <w:rFonts w:ascii="Times New Roman" w:cs="Times New Roman" w:eastAsia="Times New Roman" w:hAnsi="Times New Roman"/>
          <w:sz w:val="22"/>
          <w:szCs w:val="22"/>
        </w:rPr>
        <w:t xml:space="preserve"> a </w:t>
      </w:r>
      <w:r>
        <w:rPr>
          <w:rFonts w:ascii="Times New Roman" w:cs="Times New Roman" w:eastAsia="Times New Roman" w:hAnsi="Times New Roman"/>
          <w:b/>
          <w:bCs/>
          <w:sz w:val="22"/>
          <w:szCs w:val="22"/>
        </w:rPr>
        <w:t xml:space="preserve">licencia A</w:t>
      </w:r>
      <w:r>
        <w:rPr>
          <w:rFonts w:ascii="Times New Roman" w:cs="Times New Roman" w:eastAsia="Times New Roman" w:hAnsi="Times New Roman"/>
          <w:sz w:val="22"/>
          <w:szCs w:val="22"/>
        </w:rPr>
        <w:t xml:space="preserve">. Popri nich existuje </w:t>
      </w:r>
      <w:r>
        <w:rPr>
          <w:rFonts w:ascii="Times New Roman" w:cs="Times New Roman" w:eastAsia="Times New Roman" w:hAnsi="Times New Roman"/>
          <w:b/>
          <w:bCs/>
          <w:sz w:val="22"/>
          <w:szCs w:val="22"/>
        </w:rPr>
        <w:t xml:space="preserve">hosťovská licencia H</w:t>
      </w:r>
      <w:r>
        <w:rPr>
          <w:rFonts w:ascii="Times New Roman" w:cs="Times New Roman" w:eastAsia="Times New Roman" w:hAnsi="Times New Roman"/>
          <w:sz w:val="22"/>
          <w:szCs w:val="22"/>
        </w:rPr>
        <w:t xml:space="preserve"> podľa čl. 8.</w:t>
      </w:r>
    </w:p>
    <w:p>
      <w:pPr>
        <w:pStyle w:val="ListParagraph"/>
        <w:numPr>
          <w:ilvl w:val="0"/>
          <w:numId w:val="5"/>
        </w:numPr>
        <w:spacing w:after="60" w:line="336"/>
        <w:jc w:val="both"/>
      </w:pPr>
      <w:r>
        <w:rPr>
          <w:rFonts w:ascii="Times New Roman" w:cs="Times New Roman" w:eastAsia="Times New Roman" w:hAnsi="Times New Roman"/>
          <w:sz w:val="22"/>
          <w:szCs w:val="22"/>
        </w:rPr>
        <w:t xml:space="preserve">Licencia je univerzálna — jej stupeň určuje rozsah oprávnení a platí pre všetky zbrane FEBUS.</w:t>
      </w:r>
    </w:p>
    <w:p>
      <w:pPr>
        <w:pStyle w:val="ListParagraph"/>
        <w:numPr>
          <w:ilvl w:val="0"/>
          <w:numId w:val="5"/>
        </w:numPr>
        <w:spacing w:after="60" w:line="336"/>
        <w:jc w:val="both"/>
      </w:pPr>
      <w:r>
        <w:rPr>
          <w:rFonts w:ascii="Times New Roman" w:cs="Times New Roman" w:eastAsia="Times New Roman" w:hAnsi="Times New Roman"/>
          <w:sz w:val="22"/>
          <w:szCs w:val="22"/>
        </w:rPr>
        <w:t xml:space="preserve">Rozhodcovské skúšky sa vykonávajú v zbrani s právom útoku (čl. 2 ods. 8). Zložená skúška oprávňuje rozhodovať aj zbrane bez práva útoku; skúška len v zbrani bez práva útoku sa nevykonáva.</w:t>
      </w:r>
    </w:p>
    <w:p>
      <w:pPr>
        <w:pStyle w:val="ListParagraph"/>
        <w:numPr>
          <w:ilvl w:val="0"/>
          <w:numId w:val="5"/>
        </w:numPr>
        <w:spacing w:after="60" w:line="336"/>
        <w:jc w:val="both"/>
      </w:pPr>
      <w:r>
        <w:rPr>
          <w:rFonts w:ascii="Times New Roman" w:cs="Times New Roman" w:eastAsia="Times New Roman" w:hAnsi="Times New Roman"/>
          <w:sz w:val="22"/>
          <w:szCs w:val="22"/>
        </w:rPr>
        <w:t xml:space="preserve">Vyšší stupeň licencie zahŕňa všetky oprávnenia nižších stupňov.</w:t>
      </w:r>
    </w:p>
    <w:p>
      <w:pPr>
        <w:pStyle w:val="ListParagraph"/>
        <w:numPr>
          <w:ilvl w:val="0"/>
          <w:numId w:val="5"/>
        </w:numPr>
        <w:spacing w:after="60" w:line="336"/>
        <w:jc w:val="both"/>
      </w:pPr>
      <w:r>
        <w:rPr>
          <w:rFonts w:ascii="Times New Roman" w:cs="Times New Roman" w:eastAsia="Times New Roman" w:hAnsi="Times New Roman"/>
          <w:sz w:val="22"/>
          <w:szCs w:val="22"/>
        </w:rPr>
        <w:t xml:space="preserve">Licenciu udeľuje Komisia zápisom do registra. Ak táto smernica neustanovuje inak, na udelenie licencie sa vyžaduje súhlas najmenej dvoch hodnotiteľov, ktorí sa osobne zúčastnili skúšky žiadateľa.</w:t>
      </w:r>
    </w:p>
    <w:p>
      <w:pPr>
        <w:pStyle w:val="ListParagraph"/>
        <w:numPr>
          <w:ilvl w:val="0"/>
          <w:numId w:val="5"/>
        </w:numPr>
        <w:spacing w:after="60" w:line="336"/>
        <w:jc w:val="both"/>
      </w:pPr>
      <w:r>
        <w:rPr>
          <w:rFonts w:ascii="Times New Roman" w:cs="Times New Roman" w:eastAsia="Times New Roman" w:hAnsi="Times New Roman"/>
          <w:sz w:val="22"/>
          <w:szCs w:val="22"/>
        </w:rPr>
        <w:t xml:space="preserve">Rozhodca je povinný:</w:t>
      </w:r>
    </w:p>
    <w:p>
      <w:pPr>
        <w:pStyle w:val="ListParagraph"/>
        <w:numPr>
          <w:ilvl w:val="1"/>
          <w:numId w:val="5"/>
        </w:numPr>
        <w:spacing w:after="60" w:line="336"/>
        <w:jc w:val="both"/>
      </w:pPr>
      <w:r>
        <w:rPr>
          <w:rFonts w:ascii="Times New Roman" w:cs="Times New Roman" w:eastAsia="Times New Roman" w:hAnsi="Times New Roman"/>
          <w:sz w:val="22"/>
          <w:szCs w:val="22"/>
        </w:rPr>
        <w:t xml:space="preserve">poznať a uplatňovať aktuálne pravidlá FEBUS,</w:t>
      </w:r>
    </w:p>
    <w:p>
      <w:pPr>
        <w:pStyle w:val="ListParagraph"/>
        <w:numPr>
          <w:ilvl w:val="1"/>
          <w:numId w:val="5"/>
        </w:numPr>
        <w:spacing w:after="60" w:line="336"/>
        <w:jc w:val="both"/>
      </w:pPr>
      <w:r>
        <w:rPr>
          <w:rFonts w:ascii="Times New Roman" w:cs="Times New Roman" w:eastAsia="Times New Roman" w:hAnsi="Times New Roman"/>
          <w:sz w:val="22"/>
          <w:szCs w:val="22"/>
        </w:rPr>
        <w:t xml:space="preserve">rozhodovať nestranne; zápas, v ktorom má rozhodca konflikt záujmov (najmä účasť člena vlastného klubu), vopred oznámi koordinátorovi rozhodcov turnaja; koordinátor takýto zápas podľa možností pridelí inému rozhodcovi, vo vyraďovacej fáze vždy, ak je iný rozhodca s potrebnou licenciou k dispozícii,</w:t>
      </w:r>
    </w:p>
    <w:p>
      <w:pPr>
        <w:pStyle w:val="ListParagraph"/>
        <w:numPr>
          <w:ilvl w:val="1"/>
          <w:numId w:val="5"/>
        </w:numPr>
        <w:spacing w:after="60" w:line="336"/>
        <w:jc w:val="both"/>
      </w:pPr>
      <w:r>
        <w:rPr>
          <w:rFonts w:ascii="Times New Roman" w:cs="Times New Roman" w:eastAsia="Times New Roman" w:hAnsi="Times New Roman"/>
          <w:sz w:val="22"/>
          <w:szCs w:val="22"/>
        </w:rPr>
        <w:t xml:space="preserve">pri výkone rozhodcovskej činnosti a v súvislosti s ňou vystupovať vecne a slušne.</w:t>
      </w:r>
    </w:p>
    <w:p>
      <w:pPr>
        <w:pStyle w:val="ListParagraph"/>
        <w:numPr>
          <w:ilvl w:val="0"/>
          <w:numId w:val="5"/>
        </w:numPr>
        <w:spacing w:after="60" w:line="336"/>
        <w:jc w:val="both"/>
      </w:pPr>
      <w:r>
        <w:rPr>
          <w:rFonts w:ascii="Times New Roman" w:cs="Times New Roman" w:eastAsia="Times New Roman" w:hAnsi="Times New Roman"/>
          <w:sz w:val="22"/>
          <w:szCs w:val="22"/>
        </w:rPr>
        <w:t xml:space="preserve">Rozhodca nesmie na tom istom turnaji:</w:t>
      </w:r>
    </w:p>
    <w:p>
      <w:pPr>
        <w:pStyle w:val="ListParagraph"/>
        <w:numPr>
          <w:ilvl w:val="1"/>
          <w:numId w:val="5"/>
        </w:numPr>
        <w:spacing w:after="60" w:line="336"/>
        <w:jc w:val="both"/>
      </w:pPr>
      <w:r>
        <w:rPr>
          <w:rFonts w:ascii="Times New Roman" w:cs="Times New Roman" w:eastAsia="Times New Roman" w:hAnsi="Times New Roman"/>
          <w:sz w:val="22"/>
          <w:szCs w:val="22"/>
        </w:rPr>
        <w:t xml:space="preserve">rozhodovať v disciplíne, v ktorej sám súťaží,</w:t>
      </w:r>
    </w:p>
    <w:p>
      <w:pPr>
        <w:pStyle w:val="ListParagraph"/>
        <w:numPr>
          <w:ilvl w:val="1"/>
          <w:numId w:val="5"/>
        </w:numPr>
        <w:spacing w:after="60" w:line="336"/>
        <w:jc w:val="both"/>
      </w:pPr>
      <w:r>
        <w:rPr>
          <w:rFonts w:ascii="Times New Roman" w:cs="Times New Roman" w:eastAsia="Times New Roman" w:hAnsi="Times New Roman"/>
          <w:sz w:val="22"/>
          <w:szCs w:val="22"/>
        </w:rPr>
        <w:t xml:space="preserve">pôsobiť ako sekundant alebo tréner šermiara v disciplíne, ktorú rozhoduje.</w:t>
      </w:r>
    </w:p>
    <w:p>
      <w:pPr>
        <w:keepNext/>
        <w:spacing w:after="180" w:before="360" w:line="336"/>
        <w:jc w:val="left"/>
      </w:pPr>
      <w:r>
        <w:rPr>
          <w:rFonts w:ascii="Times New Roman" w:cs="Times New Roman" w:eastAsia="Times New Roman" w:hAnsi="Times New Roman"/>
          <w:b/>
          <w:bCs/>
          <w:sz w:val="30"/>
          <w:szCs w:val="30"/>
        </w:rPr>
        <w:t xml:space="preserve">Čl. 5 — Licencia C</w:t>
      </w:r>
    </w:p>
    <w:p>
      <w:pPr>
        <w:spacing w:after="160" w:line="336"/>
        <w:jc w:val="both"/>
      </w:pPr>
      <w:r>
        <w:rPr>
          <w:rFonts w:ascii="Times New Roman" w:cs="Times New Roman" w:eastAsia="Times New Roman" w:hAnsi="Times New Roman"/>
          <w:i/>
          <w:iCs/>
          <w:sz w:val="22"/>
          <w:szCs w:val="22"/>
        </w:rPr>
        <w:t xml:space="preserve">Vstupný stupeň pre začínajúcich rozhodcov.</w:t>
      </w:r>
    </w:p>
    <w:p>
      <w:pPr>
        <w:keepNext/>
        <w:spacing w:after="120" w:before="240" w:line="336"/>
        <w:jc w:val="left"/>
      </w:pPr>
      <w:r>
        <w:rPr>
          <w:rFonts w:ascii="Times New Roman" w:cs="Times New Roman" w:eastAsia="Times New Roman" w:hAnsi="Times New Roman"/>
          <w:b/>
          <w:bCs/>
          <w:i/>
          <w:iCs/>
          <w:sz w:val="26"/>
          <w:szCs w:val="26"/>
        </w:rPr>
        <w:t xml:space="preserve">Podmienky prístupu ku skúške</w:t>
      </w:r>
    </w:p>
    <w:p>
      <w:pPr>
        <w:pStyle w:val="ListParagraph"/>
        <w:numPr>
          <w:ilvl w:val="0"/>
          <w:numId w:val="6"/>
        </w:numPr>
        <w:spacing w:after="60" w:line="336"/>
        <w:jc w:val="both"/>
      </w:pPr>
      <w:r>
        <w:rPr>
          <w:rFonts w:ascii="Times New Roman" w:cs="Times New Roman" w:eastAsia="Times New Roman" w:hAnsi="Times New Roman"/>
          <w:sz w:val="22"/>
          <w:szCs w:val="22"/>
        </w:rPr>
        <w:t xml:space="preserve">Vek najmenej 18 rokov.</w:t>
      </w:r>
    </w:p>
    <w:p>
      <w:pPr>
        <w:pStyle w:val="ListParagraph"/>
        <w:numPr>
          <w:ilvl w:val="0"/>
          <w:numId w:val="6"/>
        </w:numPr>
        <w:spacing w:after="60" w:line="336"/>
        <w:jc w:val="both"/>
      </w:pPr>
      <w:r>
        <w:rPr>
          <w:rFonts w:ascii="Times New Roman" w:cs="Times New Roman" w:eastAsia="Times New Roman" w:hAnsi="Times New Roman"/>
          <w:sz w:val="22"/>
          <w:szCs w:val="22"/>
        </w:rPr>
        <w:t xml:space="preserve">Podanie prihlášky na vyhlásený termín skúšky.</w:t>
      </w:r>
    </w:p>
    <w:p>
      <w:pPr>
        <w:pStyle w:val="ListParagraph"/>
        <w:numPr>
          <w:ilvl w:val="0"/>
          <w:numId w:val="6"/>
        </w:numPr>
        <w:spacing w:after="60" w:line="336"/>
        <w:jc w:val="both"/>
      </w:pPr>
      <w:r>
        <w:rPr>
          <w:rFonts w:ascii="Times New Roman" w:cs="Times New Roman" w:eastAsia="Times New Roman" w:hAnsi="Times New Roman"/>
          <w:sz w:val="22"/>
          <w:szCs w:val="22"/>
        </w:rPr>
        <w:t xml:space="preserve">Absolvovanie školenia rozhodcov (čl. 2 ods. 7).</w:t>
      </w:r>
    </w:p>
    <w:p>
      <w:pPr>
        <w:keepNext/>
        <w:spacing w:after="120" w:before="240" w:line="336"/>
        <w:jc w:val="left"/>
      </w:pPr>
      <w:r>
        <w:rPr>
          <w:rFonts w:ascii="Times New Roman" w:cs="Times New Roman" w:eastAsia="Times New Roman" w:hAnsi="Times New Roman"/>
          <w:b/>
          <w:bCs/>
          <w:i/>
          <w:iCs/>
          <w:sz w:val="26"/>
          <w:szCs w:val="26"/>
        </w:rPr>
        <w:t xml:space="preserve">Skúška</w:t>
      </w:r>
    </w:p>
    <w:p>
      <w:pPr>
        <w:pStyle w:val="ListParagraph"/>
        <w:numPr>
          <w:ilvl w:val="0"/>
          <w:numId w:val="7"/>
        </w:numPr>
        <w:spacing w:after="60" w:line="336"/>
        <w:jc w:val="both"/>
      </w:pPr>
      <w:r>
        <w:rPr>
          <w:rFonts w:ascii="Times New Roman" w:cs="Times New Roman" w:eastAsia="Times New Roman" w:hAnsi="Times New Roman"/>
          <w:sz w:val="22"/>
          <w:szCs w:val="22"/>
        </w:rPr>
        <w:t xml:space="preserve">Teoretický test s úspešnosťou najmenej 80 % (Príloha 1, časť B).</w:t>
      </w:r>
    </w:p>
    <w:p>
      <w:pPr>
        <w:pStyle w:val="ListParagraph"/>
        <w:numPr>
          <w:ilvl w:val="0"/>
          <w:numId w:val="7"/>
        </w:numPr>
        <w:spacing w:after="60" w:line="336"/>
        <w:jc w:val="both"/>
      </w:pPr>
      <w:r>
        <w:rPr>
          <w:rFonts w:ascii="Times New Roman" w:cs="Times New Roman" w:eastAsia="Times New Roman" w:hAnsi="Times New Roman"/>
          <w:sz w:val="22"/>
          <w:szCs w:val="22"/>
        </w:rPr>
        <w:t xml:space="preserve">Praktická skúška v simulovanej turnajovej skupine (Príloha 1, časť C).</w:t>
      </w:r>
    </w:p>
    <w:p>
      <w:pPr>
        <w:keepNext/>
        <w:spacing w:after="120" w:before="240" w:line="336"/>
        <w:jc w:val="left"/>
      </w:pPr>
      <w:r>
        <w:rPr>
          <w:rFonts w:ascii="Times New Roman" w:cs="Times New Roman" w:eastAsia="Times New Roman" w:hAnsi="Times New Roman"/>
          <w:b/>
          <w:bCs/>
          <w:i/>
          <w:iCs/>
          <w:sz w:val="26"/>
          <w:szCs w:val="26"/>
        </w:rPr>
        <w:t xml:space="preserve">Rozsah oprávnení</w:t>
      </w:r>
    </w:p>
    <w:p>
      <w:pPr>
        <w:pStyle w:val="ListParagraph"/>
        <w:numPr>
          <w:ilvl w:val="0"/>
          <w:numId w:val="8"/>
        </w:numPr>
        <w:spacing w:after="60" w:line="336"/>
        <w:jc w:val="both"/>
      </w:pPr>
      <w:r>
        <w:rPr>
          <w:rFonts w:ascii="Times New Roman" w:cs="Times New Roman" w:eastAsia="Times New Roman" w:hAnsi="Times New Roman"/>
          <w:sz w:val="22"/>
          <w:szCs w:val="22"/>
        </w:rPr>
        <w:t xml:space="preserve">Výkon funkcie postranného rozhodcu vo všetkých zbraniach a kategóriách.</w:t>
      </w:r>
    </w:p>
    <w:p>
      <w:pPr>
        <w:pStyle w:val="ListParagraph"/>
        <w:numPr>
          <w:ilvl w:val="0"/>
          <w:numId w:val="8"/>
        </w:numPr>
        <w:spacing w:after="60" w:line="336"/>
        <w:jc w:val="both"/>
      </w:pPr>
      <w:r>
        <w:rPr>
          <w:rFonts w:ascii="Times New Roman" w:cs="Times New Roman" w:eastAsia="Times New Roman" w:hAnsi="Times New Roman"/>
          <w:sz w:val="22"/>
          <w:szCs w:val="22"/>
        </w:rPr>
        <w:t xml:space="preserve">Výkon funkcie hlavného rozhodcu pod dohľadom rozhodcu s licenciou B alebo A. Dohliadajúci rozhodca pri takom zápase vykonáva funkciu postranného rozhodcu a môže kedykoľvek zasiahnuť do vedenia zápasu a zmeniť rozhodnutie hlavného rozhodcu.</w:t>
      </w:r>
    </w:p>
    <w:p>
      <w:pPr>
        <w:keepNext/>
        <w:spacing w:after="180" w:before="360" w:line="336"/>
        <w:jc w:val="left"/>
      </w:pPr>
      <w:r>
        <w:rPr>
          <w:rFonts w:ascii="Times New Roman" w:cs="Times New Roman" w:eastAsia="Times New Roman" w:hAnsi="Times New Roman"/>
          <w:b/>
          <w:bCs/>
          <w:sz w:val="30"/>
          <w:szCs w:val="30"/>
        </w:rPr>
        <w:t xml:space="preserve">Čl. 6 — Licencia B</w:t>
      </w:r>
    </w:p>
    <w:p>
      <w:pPr>
        <w:spacing w:after="160" w:line="336"/>
        <w:jc w:val="both"/>
      </w:pPr>
      <w:r>
        <w:rPr>
          <w:rFonts w:ascii="Times New Roman" w:cs="Times New Roman" w:eastAsia="Times New Roman" w:hAnsi="Times New Roman"/>
          <w:i/>
          <w:iCs/>
          <w:sz w:val="22"/>
          <w:szCs w:val="22"/>
        </w:rPr>
        <w:t xml:space="preserve">Stupeň pre samostatných hlavných rozhodcov.</w:t>
      </w:r>
    </w:p>
    <w:p>
      <w:pPr>
        <w:keepNext/>
        <w:spacing w:after="120" w:before="240" w:line="336"/>
        <w:jc w:val="left"/>
      </w:pPr>
      <w:r>
        <w:rPr>
          <w:rFonts w:ascii="Times New Roman" w:cs="Times New Roman" w:eastAsia="Times New Roman" w:hAnsi="Times New Roman"/>
          <w:b/>
          <w:bCs/>
          <w:i/>
          <w:iCs/>
          <w:sz w:val="26"/>
          <w:szCs w:val="26"/>
        </w:rPr>
        <w:t xml:space="preserve">Podmienky prístupu ku skúške</w:t>
      </w:r>
    </w:p>
    <w:p>
      <w:pPr>
        <w:pStyle w:val="ListParagraph"/>
        <w:numPr>
          <w:ilvl w:val="0"/>
          <w:numId w:val="9"/>
        </w:numPr>
        <w:spacing w:after="60" w:line="336"/>
        <w:jc w:val="both"/>
      </w:pPr>
      <w:r>
        <w:rPr>
          <w:rFonts w:ascii="Times New Roman" w:cs="Times New Roman" w:eastAsia="Times New Roman" w:hAnsi="Times New Roman"/>
          <w:sz w:val="22"/>
          <w:szCs w:val="22"/>
        </w:rPr>
        <w:t xml:space="preserve">Platná licencia C.</w:t>
      </w:r>
    </w:p>
    <w:p>
      <w:pPr>
        <w:pStyle w:val="ListParagraph"/>
        <w:numPr>
          <w:ilvl w:val="0"/>
          <w:numId w:val="9"/>
        </w:numPr>
        <w:spacing w:after="60" w:line="336"/>
        <w:jc w:val="both"/>
      </w:pPr>
      <w:r>
        <w:rPr>
          <w:rFonts w:ascii="Times New Roman" w:cs="Times New Roman" w:eastAsia="Times New Roman" w:hAnsi="Times New Roman"/>
          <w:sz w:val="22"/>
          <w:szCs w:val="22"/>
        </w:rPr>
        <w:t xml:space="preserve">Oficiálna rozhodcovská činnosť na najmenej dvoch turnajoch FEBUS.</w:t>
      </w:r>
    </w:p>
    <w:p>
      <w:pPr>
        <w:pStyle w:val="ListParagraph"/>
        <w:numPr>
          <w:ilvl w:val="0"/>
          <w:numId w:val="9"/>
        </w:numPr>
        <w:spacing w:after="60" w:line="336"/>
        <w:jc w:val="both"/>
      </w:pPr>
      <w:r>
        <w:rPr>
          <w:rFonts w:ascii="Times New Roman" w:cs="Times New Roman" w:eastAsia="Times New Roman" w:hAnsi="Times New Roman"/>
          <w:sz w:val="22"/>
          <w:szCs w:val="22"/>
        </w:rPr>
        <w:t xml:space="preserve">Prax v najmenej dvoch zbraniach, z toho aspoň v jednej zbrani s právom útoku.</w:t>
      </w:r>
    </w:p>
    <w:p>
      <w:pPr>
        <w:keepNext/>
        <w:spacing w:after="120" w:before="240" w:line="336"/>
        <w:jc w:val="left"/>
      </w:pPr>
      <w:r>
        <w:rPr>
          <w:rFonts w:ascii="Times New Roman" w:cs="Times New Roman" w:eastAsia="Times New Roman" w:hAnsi="Times New Roman"/>
          <w:b/>
          <w:bCs/>
          <w:i/>
          <w:iCs/>
          <w:sz w:val="26"/>
          <w:szCs w:val="26"/>
        </w:rPr>
        <w:t xml:space="preserve">Skúška</w:t>
      </w:r>
    </w:p>
    <w:p>
      <w:pPr>
        <w:pStyle w:val="ListParagraph"/>
        <w:numPr>
          <w:ilvl w:val="0"/>
          <w:numId w:val="10"/>
        </w:numPr>
        <w:spacing w:after="60" w:line="336"/>
        <w:jc w:val="both"/>
      </w:pPr>
      <w:r>
        <w:rPr>
          <w:rFonts w:ascii="Times New Roman" w:cs="Times New Roman" w:eastAsia="Times New Roman" w:hAnsi="Times New Roman"/>
          <w:sz w:val="22"/>
          <w:szCs w:val="22"/>
        </w:rPr>
        <w:t xml:space="preserve">Praktická skúška: samostatné vedenie celej turnajovej skupiny vo funkcii hlavného rozhodcu, sčasti v anglickom jazyku (Príloha 1, časť D). Súčasťou je vysvetlenie sporných situácií a odôvodnenie rozhodnutí v slovenskom a anglickom jazyku.</w:t>
      </w:r>
    </w:p>
    <w:p>
      <w:pPr>
        <w:keepNext/>
        <w:spacing w:after="120" w:before="240" w:line="336"/>
        <w:jc w:val="left"/>
      </w:pPr>
      <w:r>
        <w:rPr>
          <w:rFonts w:ascii="Times New Roman" w:cs="Times New Roman" w:eastAsia="Times New Roman" w:hAnsi="Times New Roman"/>
          <w:b/>
          <w:bCs/>
          <w:i/>
          <w:iCs/>
          <w:sz w:val="26"/>
          <w:szCs w:val="26"/>
        </w:rPr>
        <w:t xml:space="preserve">Rozsah oprávnení</w:t>
      </w:r>
    </w:p>
    <w:p>
      <w:pPr>
        <w:pStyle w:val="ListParagraph"/>
        <w:numPr>
          <w:ilvl w:val="0"/>
          <w:numId w:val="11"/>
        </w:numPr>
        <w:spacing w:after="60" w:line="336"/>
        <w:jc w:val="both"/>
      </w:pPr>
      <w:r>
        <w:rPr>
          <w:rFonts w:ascii="Times New Roman" w:cs="Times New Roman" w:eastAsia="Times New Roman" w:hAnsi="Times New Roman"/>
          <w:sz w:val="22"/>
          <w:szCs w:val="22"/>
        </w:rPr>
        <w:t xml:space="preserve">Výkon funkcie hlavného rozhodcu vo všetkých zbraniach a kategóriách.</w:t>
      </w:r>
    </w:p>
    <w:p>
      <w:pPr>
        <w:pStyle w:val="ListParagraph"/>
        <w:numPr>
          <w:ilvl w:val="0"/>
          <w:numId w:val="11"/>
        </w:numPr>
        <w:spacing w:after="60" w:line="336"/>
        <w:jc w:val="both"/>
      </w:pPr>
      <w:r>
        <w:rPr>
          <w:rFonts w:ascii="Times New Roman" w:cs="Times New Roman" w:eastAsia="Times New Roman" w:hAnsi="Times New Roman"/>
          <w:sz w:val="22"/>
          <w:szCs w:val="22"/>
        </w:rPr>
        <w:t xml:space="preserve">Výkon funkcie koordinátora rozhodcov turnaja, ak na turnaji nie je k dispozícii držiteľ platnej licencie A.</w:t>
      </w:r>
    </w:p>
    <w:p>
      <w:pPr>
        <w:keepNext/>
        <w:spacing w:after="180" w:before="360" w:line="336"/>
        <w:jc w:val="left"/>
      </w:pPr>
      <w:r>
        <w:rPr>
          <w:rFonts w:ascii="Times New Roman" w:cs="Times New Roman" w:eastAsia="Times New Roman" w:hAnsi="Times New Roman"/>
          <w:b/>
          <w:bCs/>
          <w:sz w:val="30"/>
          <w:szCs w:val="30"/>
        </w:rPr>
        <w:t xml:space="preserve">Čl. 7 — Licencia A</w:t>
      </w:r>
    </w:p>
    <w:p>
      <w:pPr>
        <w:spacing w:after="160" w:line="336"/>
        <w:jc w:val="both"/>
      </w:pPr>
      <w:r>
        <w:rPr>
          <w:rFonts w:ascii="Times New Roman" w:cs="Times New Roman" w:eastAsia="Times New Roman" w:hAnsi="Times New Roman"/>
          <w:i/>
          <w:iCs/>
          <w:sz w:val="22"/>
          <w:szCs w:val="22"/>
        </w:rPr>
        <w:t xml:space="preserve">Najvyšší stupeň licencie.</w:t>
      </w:r>
    </w:p>
    <w:p>
      <w:pPr>
        <w:keepNext/>
        <w:spacing w:after="120" w:before="240" w:line="336"/>
        <w:jc w:val="left"/>
      </w:pPr>
      <w:r>
        <w:rPr>
          <w:rFonts w:ascii="Times New Roman" w:cs="Times New Roman" w:eastAsia="Times New Roman" w:hAnsi="Times New Roman"/>
          <w:b/>
          <w:bCs/>
          <w:i/>
          <w:iCs/>
          <w:sz w:val="26"/>
          <w:szCs w:val="26"/>
        </w:rPr>
        <w:t xml:space="preserve">Podmienky prístupu</w:t>
      </w:r>
    </w:p>
    <w:p>
      <w:pPr>
        <w:pStyle w:val="ListParagraph"/>
        <w:numPr>
          <w:ilvl w:val="0"/>
          <w:numId w:val="12"/>
        </w:numPr>
        <w:spacing w:after="60" w:line="336"/>
        <w:jc w:val="both"/>
      </w:pPr>
      <w:r>
        <w:rPr>
          <w:rFonts w:ascii="Times New Roman" w:cs="Times New Roman" w:eastAsia="Times New Roman" w:hAnsi="Times New Roman"/>
          <w:sz w:val="22"/>
          <w:szCs w:val="22"/>
        </w:rPr>
        <w:t xml:space="preserve">Platná licencia B nepretržite najmenej tri roky.</w:t>
      </w:r>
    </w:p>
    <w:p>
      <w:pPr>
        <w:pStyle w:val="ListParagraph"/>
        <w:numPr>
          <w:ilvl w:val="0"/>
          <w:numId w:val="12"/>
        </w:numPr>
        <w:spacing w:after="60" w:line="336"/>
        <w:jc w:val="both"/>
      </w:pPr>
      <w:r>
        <w:rPr>
          <w:rFonts w:ascii="Times New Roman" w:cs="Times New Roman" w:eastAsia="Times New Roman" w:hAnsi="Times New Roman"/>
          <w:sz w:val="22"/>
          <w:szCs w:val="22"/>
        </w:rPr>
        <w:t xml:space="preserve">Oficiálna rozhodcovská činnosť na najmenej desiatich turnajoch FEBUS.</w:t>
      </w:r>
    </w:p>
    <w:p>
      <w:pPr>
        <w:pStyle w:val="ListParagraph"/>
        <w:numPr>
          <w:ilvl w:val="0"/>
          <w:numId w:val="12"/>
        </w:numPr>
        <w:spacing w:after="60" w:line="336"/>
        <w:jc w:val="both"/>
      </w:pPr>
      <w:r>
        <w:rPr>
          <w:rFonts w:ascii="Times New Roman" w:cs="Times New Roman" w:eastAsia="Times New Roman" w:hAnsi="Times New Roman"/>
          <w:sz w:val="22"/>
          <w:szCs w:val="22"/>
        </w:rPr>
        <w:t xml:space="preserve">Oficiálna rozhodcovská činnosť v najmenej dvoch zbraniach.</w:t>
      </w:r>
    </w:p>
    <w:p>
      <w:pPr>
        <w:keepNext/>
        <w:spacing w:after="120" w:before="240" w:line="336"/>
        <w:jc w:val="left"/>
      </w:pPr>
      <w:r>
        <w:rPr>
          <w:rFonts w:ascii="Times New Roman" w:cs="Times New Roman" w:eastAsia="Times New Roman" w:hAnsi="Times New Roman"/>
          <w:b/>
          <w:bCs/>
          <w:i/>
          <w:iCs/>
          <w:sz w:val="26"/>
          <w:szCs w:val="26"/>
        </w:rPr>
        <w:t xml:space="preserve">Udelenie</w:t>
      </w:r>
    </w:p>
    <w:p>
      <w:pPr>
        <w:pStyle w:val="ListParagraph"/>
        <w:numPr>
          <w:ilvl w:val="0"/>
          <w:numId w:val="13"/>
        </w:numPr>
        <w:spacing w:after="60" w:line="336"/>
        <w:jc w:val="both"/>
      </w:pPr>
      <w:r>
        <w:rPr>
          <w:rFonts w:ascii="Times New Roman" w:cs="Times New Roman" w:eastAsia="Times New Roman" w:hAnsi="Times New Roman"/>
          <w:sz w:val="22"/>
          <w:szCs w:val="22"/>
        </w:rPr>
        <w:t xml:space="preserve">Licenciu A udeľuje Komisia nadpolovičnou väčšinou všetkých svojich členov na základe žiadosti rozhodcu alebo na návrh člena Komisie, po posúdení praxe a výkonov žiadateľa.</w:t>
      </w:r>
    </w:p>
    <w:p>
      <w:pPr>
        <w:pStyle w:val="ListParagraph"/>
        <w:numPr>
          <w:ilvl w:val="0"/>
          <w:numId w:val="13"/>
        </w:numPr>
        <w:spacing w:after="60" w:line="336"/>
        <w:jc w:val="both"/>
      </w:pPr>
      <w:r>
        <w:rPr>
          <w:rFonts w:ascii="Times New Roman" w:cs="Times New Roman" w:eastAsia="Times New Roman" w:hAnsi="Times New Roman"/>
          <w:sz w:val="22"/>
          <w:szCs w:val="22"/>
        </w:rPr>
        <w:t xml:space="preserve">Držba licencie A nezakladá členstvo v Komisii; je podmienkou menovania do nej (čl. 3 ods. 2).</w:t>
      </w:r>
    </w:p>
    <w:p>
      <w:pPr>
        <w:keepNext/>
        <w:spacing w:after="120" w:before="240" w:line="336"/>
        <w:jc w:val="left"/>
      </w:pPr>
      <w:r>
        <w:rPr>
          <w:rFonts w:ascii="Times New Roman" w:cs="Times New Roman" w:eastAsia="Times New Roman" w:hAnsi="Times New Roman"/>
          <w:b/>
          <w:bCs/>
          <w:i/>
          <w:iCs/>
          <w:sz w:val="26"/>
          <w:szCs w:val="26"/>
        </w:rPr>
        <w:t xml:space="preserve">Rozsah oprávnení</w:t>
      </w:r>
    </w:p>
    <w:p>
      <w:pPr>
        <w:pStyle w:val="ListParagraph"/>
        <w:numPr>
          <w:ilvl w:val="0"/>
          <w:numId w:val="14"/>
        </w:numPr>
        <w:spacing w:after="60" w:line="336"/>
        <w:jc w:val="both"/>
      </w:pPr>
      <w:r>
        <w:rPr>
          <w:rFonts w:ascii="Times New Roman" w:cs="Times New Roman" w:eastAsia="Times New Roman" w:hAnsi="Times New Roman"/>
          <w:sz w:val="22"/>
          <w:szCs w:val="22"/>
        </w:rPr>
        <w:t xml:space="preserve">Výkon funkcie hlavného rozhodcu vo všetkých zbraniach a kategóriách.</w:t>
      </w:r>
    </w:p>
    <w:p>
      <w:pPr>
        <w:pStyle w:val="ListParagraph"/>
        <w:numPr>
          <w:ilvl w:val="0"/>
          <w:numId w:val="14"/>
        </w:numPr>
        <w:spacing w:after="60" w:line="336"/>
        <w:jc w:val="both"/>
      </w:pPr>
      <w:r>
        <w:rPr>
          <w:rFonts w:ascii="Times New Roman" w:cs="Times New Roman" w:eastAsia="Times New Roman" w:hAnsi="Times New Roman"/>
          <w:sz w:val="22"/>
          <w:szCs w:val="22"/>
        </w:rPr>
        <w:t xml:space="preserve">Výkon funkcie hodnotiteľa na rozhodcovských skúškach.</w:t>
      </w:r>
    </w:p>
    <w:p>
      <w:pPr>
        <w:pStyle w:val="ListParagraph"/>
        <w:numPr>
          <w:ilvl w:val="0"/>
          <w:numId w:val="14"/>
        </w:numPr>
        <w:spacing w:after="60" w:line="336"/>
        <w:jc w:val="both"/>
      </w:pPr>
      <w:r>
        <w:rPr>
          <w:rFonts w:ascii="Times New Roman" w:cs="Times New Roman" w:eastAsia="Times New Roman" w:hAnsi="Times New Roman"/>
          <w:sz w:val="22"/>
          <w:szCs w:val="22"/>
        </w:rPr>
        <w:t xml:space="preserve">Výkon funkcie koordinátora rozhodcov turnaja.</w:t>
      </w:r>
    </w:p>
    <w:p>
      <w:pPr>
        <w:pStyle w:val="ListParagraph"/>
        <w:numPr>
          <w:ilvl w:val="0"/>
          <w:numId w:val="14"/>
        </w:numPr>
        <w:spacing w:after="60" w:line="336"/>
        <w:jc w:val="both"/>
      </w:pPr>
      <w:r>
        <w:rPr>
          <w:rFonts w:ascii="Times New Roman" w:cs="Times New Roman" w:eastAsia="Times New Roman" w:hAnsi="Times New Roman"/>
          <w:sz w:val="22"/>
          <w:szCs w:val="22"/>
        </w:rPr>
        <w:t xml:space="preserve">Možnosť byť menovaný za člena Komisie.</w:t>
      </w:r>
    </w:p>
    <w:p>
      <w:pPr>
        <w:keepNext/>
        <w:spacing w:after="180" w:before="360" w:line="336"/>
        <w:jc w:val="left"/>
      </w:pPr>
      <w:r>
        <w:rPr>
          <w:rFonts w:ascii="Times New Roman" w:cs="Times New Roman" w:eastAsia="Times New Roman" w:hAnsi="Times New Roman"/>
          <w:b/>
          <w:bCs/>
          <w:sz w:val="30"/>
          <w:szCs w:val="30"/>
        </w:rPr>
        <w:t xml:space="preserve">Čl. 8 — Hosťovská licencia H</w:t>
      </w:r>
    </w:p>
    <w:p>
      <w:pPr>
        <w:pStyle w:val="ListParagraph"/>
        <w:numPr>
          <w:ilvl w:val="0"/>
          <w:numId w:val="15"/>
        </w:numPr>
        <w:spacing w:after="60" w:line="336"/>
        <w:jc w:val="both"/>
      </w:pPr>
      <w:r>
        <w:rPr>
          <w:rFonts w:ascii="Times New Roman" w:cs="Times New Roman" w:eastAsia="Times New Roman" w:hAnsi="Times New Roman"/>
          <w:sz w:val="22"/>
          <w:szCs w:val="22"/>
        </w:rPr>
        <w:t xml:space="preserve">Hosťovská licencia je určená rozhodcom bez licencie FEBUS, ktorí majú rozhodovať na turnaji FEBUS, spravidla zahraničným.</w:t>
      </w:r>
    </w:p>
    <w:p>
      <w:pPr>
        <w:pStyle w:val="ListParagraph"/>
        <w:numPr>
          <w:ilvl w:val="0"/>
          <w:numId w:val="15"/>
        </w:numPr>
        <w:spacing w:after="60" w:line="336"/>
        <w:jc w:val="both"/>
      </w:pPr>
      <w:r>
        <w:rPr>
          <w:rFonts w:ascii="Times New Roman" w:cs="Times New Roman" w:eastAsia="Times New Roman" w:hAnsi="Times New Roman"/>
          <w:sz w:val="22"/>
          <w:szCs w:val="22"/>
        </w:rPr>
        <w:t xml:space="preserve">Podmienky udelenia:</w:t>
      </w:r>
    </w:p>
    <w:p>
      <w:pPr>
        <w:pStyle w:val="ListParagraph"/>
        <w:numPr>
          <w:ilvl w:val="1"/>
          <w:numId w:val="15"/>
        </w:numPr>
        <w:spacing w:after="60" w:line="336"/>
        <w:jc w:val="both"/>
      </w:pPr>
      <w:r>
        <w:rPr>
          <w:rFonts w:ascii="Times New Roman" w:cs="Times New Roman" w:eastAsia="Times New Roman" w:hAnsi="Times New Roman"/>
          <w:sz w:val="22"/>
          <w:szCs w:val="22"/>
        </w:rPr>
        <w:t xml:space="preserve">preukázateľná prax v rozhodovaní šermiarskych alebo HEMA súťaží,</w:t>
      </w:r>
    </w:p>
    <w:p>
      <w:pPr>
        <w:pStyle w:val="ListParagraph"/>
        <w:numPr>
          <w:ilvl w:val="1"/>
          <w:numId w:val="15"/>
        </w:numPr>
        <w:spacing w:after="60" w:line="336"/>
        <w:jc w:val="both"/>
      </w:pPr>
      <w:r>
        <w:rPr>
          <w:rFonts w:ascii="Times New Roman" w:cs="Times New Roman" w:eastAsia="Times New Roman" w:hAnsi="Times New Roman"/>
          <w:sz w:val="22"/>
          <w:szCs w:val="22"/>
        </w:rPr>
        <w:t xml:space="preserve">oboznámenie sa s pravidlami FEBUS; koordinátor rozhodcov turnaja pred turnajom vykoná s držiteľom inštruktáž o špecifikách pravidiel (najmä priorita a tresty),</w:t>
      </w:r>
    </w:p>
    <w:p>
      <w:pPr>
        <w:pStyle w:val="ListParagraph"/>
        <w:numPr>
          <w:ilvl w:val="1"/>
          <w:numId w:val="15"/>
        </w:numPr>
        <w:spacing w:after="60" w:line="336"/>
        <w:jc w:val="both"/>
      </w:pPr>
      <w:r>
        <w:rPr>
          <w:rFonts w:ascii="Times New Roman" w:cs="Times New Roman" w:eastAsia="Times New Roman" w:hAnsi="Times New Roman"/>
          <w:sz w:val="22"/>
          <w:szCs w:val="22"/>
        </w:rPr>
        <w:t xml:space="preserve">súhlas organizátora turnaja,</w:t>
      </w:r>
    </w:p>
    <w:p>
      <w:pPr>
        <w:pStyle w:val="ListParagraph"/>
        <w:numPr>
          <w:ilvl w:val="1"/>
          <w:numId w:val="15"/>
        </w:numPr>
        <w:spacing w:after="60" w:line="336"/>
        <w:jc w:val="both"/>
      </w:pPr>
      <w:r>
        <w:rPr>
          <w:rFonts w:ascii="Times New Roman" w:cs="Times New Roman" w:eastAsia="Times New Roman" w:hAnsi="Times New Roman"/>
          <w:sz w:val="22"/>
          <w:szCs w:val="22"/>
        </w:rPr>
        <w:t xml:space="preserve">súhlas koordinátora rozhodcov turnaja; ak koordinátor nie je držiteľom platnej licencie A, vyžaduje sa aj súhlas Komisie.</w:t>
      </w:r>
    </w:p>
    <w:p>
      <w:pPr>
        <w:pStyle w:val="ListParagraph"/>
        <w:numPr>
          <w:ilvl w:val="0"/>
          <w:numId w:val="15"/>
        </w:numPr>
        <w:spacing w:after="60" w:line="336"/>
        <w:jc w:val="both"/>
      </w:pPr>
      <w:r>
        <w:rPr>
          <w:rFonts w:ascii="Times New Roman" w:cs="Times New Roman" w:eastAsia="Times New Roman" w:hAnsi="Times New Roman"/>
          <w:sz w:val="22"/>
          <w:szCs w:val="22"/>
        </w:rPr>
        <w:t xml:space="preserve">Rozsah oprávnení zodpovedá licencii C:</w:t>
      </w:r>
    </w:p>
    <w:p>
      <w:pPr>
        <w:pStyle w:val="ListParagraph"/>
        <w:numPr>
          <w:ilvl w:val="1"/>
          <w:numId w:val="15"/>
        </w:numPr>
        <w:spacing w:after="60" w:line="336"/>
        <w:jc w:val="both"/>
      </w:pPr>
      <w:r>
        <w:rPr>
          <w:rFonts w:ascii="Times New Roman" w:cs="Times New Roman" w:eastAsia="Times New Roman" w:hAnsi="Times New Roman"/>
          <w:sz w:val="22"/>
          <w:szCs w:val="22"/>
        </w:rPr>
        <w:t xml:space="preserve">výkon funkcie postranného rozhodcu,</w:t>
      </w:r>
    </w:p>
    <w:p>
      <w:pPr>
        <w:pStyle w:val="ListParagraph"/>
        <w:numPr>
          <w:ilvl w:val="1"/>
          <w:numId w:val="15"/>
        </w:numPr>
        <w:spacing w:after="60" w:line="336"/>
        <w:jc w:val="both"/>
      </w:pPr>
      <w:r>
        <w:rPr>
          <w:rFonts w:ascii="Times New Roman" w:cs="Times New Roman" w:eastAsia="Times New Roman" w:hAnsi="Times New Roman"/>
          <w:sz w:val="22"/>
          <w:szCs w:val="22"/>
        </w:rPr>
        <w:t xml:space="preserve">výkon funkcie hlavného rozhodcu pod dohľadom rozhodcu s licenciou B alebo A (čl. 5), v zbraniach určených koordinátorom rozhodcov.</w:t>
      </w:r>
    </w:p>
    <w:p>
      <w:pPr>
        <w:pStyle w:val="ListParagraph"/>
        <w:numPr>
          <w:ilvl w:val="0"/>
          <w:numId w:val="15"/>
        </w:numPr>
        <w:spacing w:after="60" w:line="336"/>
        <w:jc w:val="both"/>
      </w:pPr>
      <w:r>
        <w:rPr>
          <w:rFonts w:ascii="Times New Roman" w:cs="Times New Roman" w:eastAsia="Times New Roman" w:hAnsi="Times New Roman"/>
          <w:sz w:val="22"/>
          <w:szCs w:val="22"/>
        </w:rPr>
        <w:t xml:space="preserve">Hosťovská licencia platí výlučne na jeden turnaj. Koordinátor rozhodcov oznámi jej udelenie Komisii, ktorá ho zaznamená v registri.</w:t>
      </w:r>
    </w:p>
    <w:p>
      <w:pPr>
        <w:pStyle w:val="ListParagraph"/>
        <w:numPr>
          <w:ilvl w:val="0"/>
          <w:numId w:val="15"/>
        </w:numPr>
        <w:spacing w:after="60" w:line="336"/>
        <w:jc w:val="both"/>
      </w:pPr>
      <w:r>
        <w:rPr>
          <w:rFonts w:ascii="Times New Roman" w:cs="Times New Roman" w:eastAsia="Times New Roman" w:hAnsi="Times New Roman"/>
          <w:sz w:val="22"/>
          <w:szCs w:val="22"/>
        </w:rPr>
        <w:t xml:space="preserve">Osobe, ktorá je členom klubu združeného vo FEBUS, možno hosťovskú licenciu udeliť najviac raz; ďalšie pôsobenie ako rozhodca je podmienené získaním licencie podľa čl. 5 až 7.</w:t>
      </w:r>
    </w:p>
    <w:p>
      <w:pPr>
        <w:pStyle w:val="ListParagraph"/>
        <w:numPr>
          <w:ilvl w:val="0"/>
          <w:numId w:val="15"/>
        </w:numPr>
        <w:spacing w:after="60" w:line="336"/>
        <w:jc w:val="both"/>
      </w:pPr>
      <w:r>
        <w:rPr>
          <w:rFonts w:ascii="Times New Roman" w:cs="Times New Roman" w:eastAsia="Times New Roman" w:hAnsi="Times New Roman"/>
          <w:sz w:val="22"/>
          <w:szCs w:val="22"/>
        </w:rPr>
        <w:t xml:space="preserve">Komisia môže odmietnuť udeliť hosťovskú licenciu osobe, ktorá pri predchádzajúcom výkone rozhodcovskej činnosti závažne alebo opakovane porušila pravidlá FEBUS alebo povinnosti rozhodcu. Rozhodnutie musí byť odôvodnené a je pre organizátora a koordinátora záväzné.</w:t>
      </w:r>
    </w:p>
    <w:p>
      <w:pPr>
        <w:keepNext/>
        <w:spacing w:after="180" w:before="360" w:line="336"/>
        <w:jc w:val="left"/>
      </w:pPr>
      <w:r>
        <w:rPr>
          <w:rFonts w:ascii="Times New Roman" w:cs="Times New Roman" w:eastAsia="Times New Roman" w:hAnsi="Times New Roman"/>
          <w:b/>
          <w:bCs/>
          <w:sz w:val="30"/>
          <w:szCs w:val="30"/>
        </w:rPr>
        <w:t xml:space="preserve">Čl. 9 — Platnosť, obnova a zánik licencie</w:t>
      </w:r>
    </w:p>
    <w:p>
      <w:pPr>
        <w:pStyle w:val="ListParagraph"/>
        <w:numPr>
          <w:ilvl w:val="0"/>
          <w:numId w:val="16"/>
        </w:numPr>
        <w:spacing w:after="60" w:line="336"/>
        <w:jc w:val="both"/>
      </w:pPr>
      <w:r>
        <w:rPr>
          <w:rFonts w:ascii="Times New Roman" w:cs="Times New Roman" w:eastAsia="Times New Roman" w:hAnsi="Times New Roman"/>
          <w:sz w:val="22"/>
          <w:szCs w:val="22"/>
        </w:rPr>
        <w:t xml:space="preserve">Licencie C, B a A platia do 31. decembra druhého kalendárneho roka nasledujúceho po roku udelenia alebo poslednej obnovy.</w:t>
      </w:r>
    </w:p>
    <w:p>
      <w:pPr>
        <w:pStyle w:val="ListParagraph"/>
        <w:numPr>
          <w:ilvl w:val="0"/>
          <w:numId w:val="16"/>
        </w:numPr>
        <w:spacing w:after="60" w:line="336"/>
        <w:jc w:val="both"/>
      </w:pPr>
      <w:r>
        <w:rPr>
          <w:rFonts w:ascii="Times New Roman" w:cs="Times New Roman" w:eastAsia="Times New Roman" w:hAnsi="Times New Roman"/>
          <w:sz w:val="22"/>
          <w:szCs w:val="22"/>
        </w:rPr>
        <w:t xml:space="preserve">Licencia sa po skončení doby platnosti obnoví, ak jej držiteľ počas obdobia platnosti vykonával funkciu rozhodcu najmenej na jednom turnaji FEBUS, zúčastnil sa najmenej jedného rozhodcovského seminára alebo aspoň raz vykonával funkciu hodnotiteľa na rozhodcovských skúškach. Komisia obnovu zaznamená v registri.</w:t>
      </w:r>
    </w:p>
    <w:p>
      <w:pPr>
        <w:pStyle w:val="ListParagraph"/>
        <w:numPr>
          <w:ilvl w:val="0"/>
          <w:numId w:val="16"/>
        </w:numPr>
        <w:spacing w:after="60" w:line="336"/>
        <w:jc w:val="both"/>
      </w:pPr>
      <w:r>
        <w:rPr>
          <w:rFonts w:ascii="Times New Roman" w:cs="Times New Roman" w:eastAsia="Times New Roman" w:hAnsi="Times New Roman"/>
          <w:sz w:val="22"/>
          <w:szCs w:val="22"/>
        </w:rPr>
        <w:t xml:space="preserve">Splnenie podmienok obnovy posudzuje Komisia ku dňu skončenia platnosti licencie.</w:t>
      </w:r>
    </w:p>
    <w:p>
      <w:pPr>
        <w:pStyle w:val="ListParagraph"/>
        <w:numPr>
          <w:ilvl w:val="0"/>
          <w:numId w:val="16"/>
        </w:numPr>
        <w:spacing w:after="60" w:line="336"/>
        <w:jc w:val="both"/>
      </w:pPr>
      <w:r>
        <w:rPr>
          <w:rFonts w:ascii="Times New Roman" w:cs="Times New Roman" w:eastAsia="Times New Roman" w:hAnsi="Times New Roman"/>
          <w:sz w:val="22"/>
          <w:szCs w:val="22"/>
        </w:rPr>
        <w:t xml:space="preserve">Licencia zaniká:</w:t>
      </w:r>
    </w:p>
    <w:p>
      <w:pPr>
        <w:pStyle w:val="ListParagraph"/>
        <w:numPr>
          <w:ilvl w:val="1"/>
          <w:numId w:val="16"/>
        </w:numPr>
        <w:spacing w:after="60" w:line="336"/>
        <w:jc w:val="both"/>
      </w:pPr>
      <w:r>
        <w:rPr>
          <w:rFonts w:ascii="Times New Roman" w:cs="Times New Roman" w:eastAsia="Times New Roman" w:hAnsi="Times New Roman"/>
          <w:sz w:val="22"/>
          <w:szCs w:val="22"/>
        </w:rPr>
        <w:t xml:space="preserve">uplynutím platnosti, ak neboli splnené podmienky obnovy,</w:t>
      </w:r>
    </w:p>
    <w:p>
      <w:pPr>
        <w:pStyle w:val="ListParagraph"/>
        <w:numPr>
          <w:ilvl w:val="1"/>
          <w:numId w:val="16"/>
        </w:numPr>
        <w:spacing w:after="60" w:line="336"/>
        <w:jc w:val="both"/>
      </w:pPr>
      <w:r>
        <w:rPr>
          <w:rFonts w:ascii="Times New Roman" w:cs="Times New Roman" w:eastAsia="Times New Roman" w:hAnsi="Times New Roman"/>
          <w:sz w:val="22"/>
          <w:szCs w:val="22"/>
        </w:rPr>
        <w:t xml:space="preserve">písomným vzdaním sa licencie,</w:t>
      </w:r>
    </w:p>
    <w:p>
      <w:pPr>
        <w:pStyle w:val="ListParagraph"/>
        <w:numPr>
          <w:ilvl w:val="1"/>
          <w:numId w:val="16"/>
        </w:numPr>
        <w:spacing w:after="60" w:line="336"/>
        <w:jc w:val="both"/>
      </w:pPr>
      <w:r>
        <w:rPr>
          <w:rFonts w:ascii="Times New Roman" w:cs="Times New Roman" w:eastAsia="Times New Roman" w:hAnsi="Times New Roman"/>
          <w:sz w:val="22"/>
          <w:szCs w:val="22"/>
        </w:rPr>
        <w:t xml:space="preserve">odňatím podľa čl. 11.</w:t>
      </w:r>
    </w:p>
    <w:p>
      <w:pPr>
        <w:pStyle w:val="ListParagraph"/>
        <w:numPr>
          <w:ilvl w:val="0"/>
          <w:numId w:val="16"/>
        </w:numPr>
        <w:spacing w:after="60" w:line="336"/>
        <w:jc w:val="both"/>
      </w:pPr>
      <w:r>
        <w:rPr>
          <w:rFonts w:ascii="Times New Roman" w:cs="Times New Roman" w:eastAsia="Times New Roman" w:hAnsi="Times New Roman"/>
          <w:sz w:val="22"/>
          <w:szCs w:val="22"/>
        </w:rPr>
        <w:t xml:space="preserve">Po zániku licencie podľa ods. 4 bodov 1 alebo 2:</w:t>
      </w:r>
    </w:p>
    <w:p>
      <w:pPr>
        <w:pStyle w:val="ListParagraph"/>
        <w:numPr>
          <w:ilvl w:val="1"/>
          <w:numId w:val="16"/>
        </w:numPr>
        <w:spacing w:after="60" w:line="336"/>
        <w:jc w:val="both"/>
      </w:pPr>
      <w:r>
        <w:rPr>
          <w:rFonts w:ascii="Times New Roman" w:cs="Times New Roman" w:eastAsia="Times New Roman" w:hAnsi="Times New Roman"/>
          <w:sz w:val="22"/>
          <w:szCs w:val="22"/>
        </w:rPr>
        <w:t xml:space="preserve">pri prvom zániku Komisia licenciu obnoví po praktickom pozorovaní — rozhodovaní najmenej šiestich zápasov pod dohľadom hodnotiteľa s licenciou A (na turnaji alebo na termíne skúšok), ktorý potvrdí spôsobilosť žiadateľa,</w:t>
      </w:r>
    </w:p>
    <w:p>
      <w:pPr>
        <w:pStyle w:val="ListParagraph"/>
        <w:numPr>
          <w:ilvl w:val="1"/>
          <w:numId w:val="16"/>
        </w:numPr>
        <w:spacing w:after="60" w:line="336"/>
        <w:jc w:val="both"/>
      </w:pPr>
      <w:r>
        <w:rPr>
          <w:rFonts w:ascii="Times New Roman" w:cs="Times New Roman" w:eastAsia="Times New Roman" w:hAnsi="Times New Roman"/>
          <w:sz w:val="22"/>
          <w:szCs w:val="22"/>
        </w:rPr>
        <w:t xml:space="preserve">pri opakovanom zániku sa vyžaduje opätovné zloženie skúšky príslušného stupňa.</w:t>
      </w:r>
    </w:p>
    <w:p>
      <w:pPr>
        <w:keepNext/>
        <w:spacing w:after="180" w:before="360" w:line="336"/>
        <w:jc w:val="left"/>
      </w:pPr>
      <w:r>
        <w:rPr>
          <w:rFonts w:ascii="Times New Roman" w:cs="Times New Roman" w:eastAsia="Times New Roman" w:hAnsi="Times New Roman"/>
          <w:b/>
          <w:bCs/>
          <w:sz w:val="30"/>
          <w:szCs w:val="30"/>
        </w:rPr>
        <w:t xml:space="preserve">Čl. 10 — Register rozhodcov</w:t>
      </w:r>
    </w:p>
    <w:p>
      <w:pPr>
        <w:pStyle w:val="ListParagraph"/>
        <w:numPr>
          <w:ilvl w:val="0"/>
          <w:numId w:val="17"/>
        </w:numPr>
        <w:spacing w:after="60" w:line="336"/>
        <w:jc w:val="both"/>
      </w:pPr>
      <w:r>
        <w:rPr>
          <w:rFonts w:ascii="Times New Roman" w:cs="Times New Roman" w:eastAsia="Times New Roman" w:hAnsi="Times New Roman"/>
          <w:sz w:val="22"/>
          <w:szCs w:val="22"/>
        </w:rPr>
        <w:t xml:space="preserve">Komisia vedie register rozhodcov, ktorý obsahuje: meno a priezvisko, klubovú príslušnosť, kontaktný údaj, stupeň licencie, dátum udelenia a poslednej obnovy, platnosť licencie, záznamy o oficiálnej rozhodcovskej činnosti a záznamy o pozastavení alebo odňatí licencie.</w:t>
      </w:r>
    </w:p>
    <w:p>
      <w:pPr>
        <w:pStyle w:val="ListParagraph"/>
        <w:numPr>
          <w:ilvl w:val="0"/>
          <w:numId w:val="17"/>
        </w:numPr>
        <w:spacing w:after="60" w:line="336"/>
        <w:jc w:val="both"/>
      </w:pPr>
      <w:r>
        <w:rPr>
          <w:rFonts w:ascii="Times New Roman" w:cs="Times New Roman" w:eastAsia="Times New Roman" w:hAnsi="Times New Roman"/>
          <w:sz w:val="22"/>
          <w:szCs w:val="22"/>
        </w:rPr>
        <w:t xml:space="preserve">Organizátorovi turnaja FEBUS Komisia na požiadanie sprístupní výpis v rozsahu: meno, stupeň licencie, platnosť.</w:t>
      </w:r>
    </w:p>
    <w:p>
      <w:pPr>
        <w:pStyle w:val="ListParagraph"/>
        <w:numPr>
          <w:ilvl w:val="0"/>
          <w:numId w:val="17"/>
        </w:numPr>
        <w:spacing w:after="60" w:line="336"/>
        <w:jc w:val="both"/>
      </w:pPr>
      <w:r>
        <w:rPr>
          <w:rFonts w:ascii="Times New Roman" w:cs="Times New Roman" w:eastAsia="Times New Roman" w:hAnsi="Times New Roman"/>
          <w:sz w:val="22"/>
          <w:szCs w:val="22"/>
        </w:rPr>
        <w:t xml:space="preserve">FEBUS môže zverejniť zoznam držiteľov platných licencií v rozsahu meno a stupeň.</w:t>
      </w:r>
    </w:p>
    <w:p>
      <w:pPr>
        <w:pStyle w:val="ListParagraph"/>
        <w:numPr>
          <w:ilvl w:val="0"/>
          <w:numId w:val="17"/>
        </w:numPr>
        <w:spacing w:after="60" w:line="336"/>
        <w:jc w:val="both"/>
      </w:pPr>
      <w:r>
        <w:rPr>
          <w:rFonts w:ascii="Times New Roman" w:cs="Times New Roman" w:eastAsia="Times New Roman" w:hAnsi="Times New Roman"/>
          <w:sz w:val="22"/>
          <w:szCs w:val="22"/>
        </w:rPr>
        <w:t xml:space="preserve">Osobné údaje sa spracúvajú len v rozsahu nevyhnutnom na vedenie registra a plnenie úloh podľa tejto smernice. Podrobnosti o spracúvaní a uchovávaní údajov a o ich zverejnení podľa ods. 3 upraví FEBUS v samostatnej informácii o spracúvaní osobných údajov.</w:t>
      </w:r>
    </w:p>
    <w:p>
      <w:pPr>
        <w:keepNext/>
        <w:spacing w:after="180" w:before="360" w:line="336"/>
        <w:jc w:val="left"/>
      </w:pPr>
      <w:r>
        <w:rPr>
          <w:rFonts w:ascii="Times New Roman" w:cs="Times New Roman" w:eastAsia="Times New Roman" w:hAnsi="Times New Roman"/>
          <w:b/>
          <w:bCs/>
          <w:sz w:val="30"/>
          <w:szCs w:val="30"/>
        </w:rPr>
        <w:t xml:space="preserve">Čl. 11 — Sťažnosti, pozastavenie a odňatie licencie</w:t>
      </w:r>
    </w:p>
    <w:p>
      <w:pPr>
        <w:pStyle w:val="ListParagraph"/>
        <w:numPr>
          <w:ilvl w:val="0"/>
          <w:numId w:val="18"/>
        </w:numPr>
        <w:spacing w:after="60" w:line="336"/>
        <w:jc w:val="both"/>
      </w:pPr>
      <w:r>
        <w:rPr>
          <w:rFonts w:ascii="Times New Roman" w:cs="Times New Roman" w:eastAsia="Times New Roman" w:hAnsi="Times New Roman"/>
          <w:sz w:val="22"/>
          <w:szCs w:val="22"/>
        </w:rPr>
        <w:t xml:space="preserve">Sťažnosť na výkon činnosti rozhodcu môže podať účastník turnaja, organizátor turnaja alebo člen FEBUS, a to písomne Komisii do 14 dní od skončenia turnaja.</w:t>
      </w:r>
    </w:p>
    <w:p>
      <w:pPr>
        <w:pStyle w:val="ListParagraph"/>
        <w:numPr>
          <w:ilvl w:val="0"/>
          <w:numId w:val="18"/>
        </w:numPr>
        <w:spacing w:after="60" w:line="336"/>
        <w:jc w:val="both"/>
      </w:pPr>
      <w:r>
        <w:rPr>
          <w:rFonts w:ascii="Times New Roman" w:cs="Times New Roman" w:eastAsia="Times New Roman" w:hAnsi="Times New Roman"/>
          <w:sz w:val="22"/>
          <w:szCs w:val="22"/>
        </w:rPr>
        <w:t xml:space="preserve">Sťažnosťou nemožno napadnúť výsledok zápasu ani jednotlivé rozhodnutia o pridelení bodov. Podľa pravidiel FEBUS výsledok ani tieto rozhodnutia po skončení zápasu nemožno zmeniť. Sťažnosť môže smerovať len proti porušeniu povinností rozhodcu podľa tejto smernice.</w:t>
      </w:r>
    </w:p>
    <w:p>
      <w:pPr>
        <w:pStyle w:val="ListParagraph"/>
        <w:numPr>
          <w:ilvl w:val="0"/>
          <w:numId w:val="18"/>
        </w:numPr>
        <w:spacing w:after="60" w:line="336"/>
        <w:jc w:val="both"/>
      </w:pPr>
      <w:r>
        <w:rPr>
          <w:rFonts w:ascii="Times New Roman" w:cs="Times New Roman" w:eastAsia="Times New Roman" w:hAnsi="Times New Roman"/>
          <w:sz w:val="22"/>
          <w:szCs w:val="22"/>
        </w:rPr>
        <w:t xml:space="preserve">Komisia sťažnosť prerokuje do 30 dní od doručenia. Dotknutému rozhodcovi umožní vyjadriť sa.</w:t>
      </w:r>
    </w:p>
    <w:p>
      <w:pPr>
        <w:pStyle w:val="ListParagraph"/>
        <w:numPr>
          <w:ilvl w:val="0"/>
          <w:numId w:val="18"/>
        </w:numPr>
        <w:spacing w:after="60" w:line="336"/>
        <w:jc w:val="both"/>
      </w:pPr>
      <w:r>
        <w:rPr>
          <w:rFonts w:ascii="Times New Roman" w:cs="Times New Roman" w:eastAsia="Times New Roman" w:hAnsi="Times New Roman"/>
          <w:sz w:val="22"/>
          <w:szCs w:val="22"/>
        </w:rPr>
        <w:t xml:space="preserve">Podľa závažnosti zistení Komisia:</w:t>
      </w:r>
    </w:p>
    <w:p>
      <w:pPr>
        <w:pStyle w:val="ListParagraph"/>
        <w:numPr>
          <w:ilvl w:val="1"/>
          <w:numId w:val="18"/>
        </w:numPr>
        <w:spacing w:after="60" w:line="336"/>
        <w:jc w:val="both"/>
      </w:pPr>
      <w:r>
        <w:rPr>
          <w:rFonts w:ascii="Times New Roman" w:cs="Times New Roman" w:eastAsia="Times New Roman" w:hAnsi="Times New Roman"/>
          <w:sz w:val="22"/>
          <w:szCs w:val="22"/>
        </w:rPr>
        <w:t xml:space="preserve">sťažnosť odloží ako nedôvodnú,</w:t>
      </w:r>
    </w:p>
    <w:p>
      <w:pPr>
        <w:pStyle w:val="ListParagraph"/>
        <w:numPr>
          <w:ilvl w:val="1"/>
          <w:numId w:val="18"/>
        </w:numPr>
        <w:spacing w:after="60" w:line="336"/>
        <w:jc w:val="both"/>
      </w:pPr>
      <w:r>
        <w:rPr>
          <w:rFonts w:ascii="Times New Roman" w:cs="Times New Roman" w:eastAsia="Times New Roman" w:hAnsi="Times New Roman"/>
          <w:sz w:val="22"/>
          <w:szCs w:val="22"/>
        </w:rPr>
        <w:t xml:space="preserve">udelí rozhodcovi písomné upozornenie,</w:t>
      </w:r>
    </w:p>
    <w:p>
      <w:pPr>
        <w:pStyle w:val="ListParagraph"/>
        <w:numPr>
          <w:ilvl w:val="1"/>
          <w:numId w:val="18"/>
        </w:numPr>
        <w:spacing w:after="60" w:line="336"/>
        <w:jc w:val="both"/>
      </w:pPr>
      <w:r>
        <w:rPr>
          <w:rFonts w:ascii="Times New Roman" w:cs="Times New Roman" w:eastAsia="Times New Roman" w:hAnsi="Times New Roman"/>
          <w:sz w:val="22"/>
          <w:szCs w:val="22"/>
        </w:rPr>
        <w:t xml:space="preserve">uloží rozhodcovi povinnosť absolvovať rozhodcovský seminár,</w:t>
      </w:r>
    </w:p>
    <w:p>
      <w:pPr>
        <w:pStyle w:val="ListParagraph"/>
        <w:numPr>
          <w:ilvl w:val="1"/>
          <w:numId w:val="18"/>
        </w:numPr>
        <w:spacing w:after="60" w:line="336"/>
        <w:jc w:val="both"/>
      </w:pPr>
      <w:r>
        <w:rPr>
          <w:rFonts w:ascii="Times New Roman" w:cs="Times New Roman" w:eastAsia="Times New Roman" w:hAnsi="Times New Roman"/>
          <w:sz w:val="22"/>
          <w:szCs w:val="22"/>
        </w:rPr>
        <w:t xml:space="preserve">pozastaví licenciu najviac na dvanásť mesiacov,</w:t>
      </w:r>
    </w:p>
    <w:p>
      <w:pPr>
        <w:pStyle w:val="ListParagraph"/>
        <w:numPr>
          <w:ilvl w:val="1"/>
          <w:numId w:val="18"/>
        </w:numPr>
        <w:spacing w:after="60" w:line="336"/>
        <w:jc w:val="both"/>
      </w:pPr>
      <w:r>
        <w:rPr>
          <w:rFonts w:ascii="Times New Roman" w:cs="Times New Roman" w:eastAsia="Times New Roman" w:hAnsi="Times New Roman"/>
          <w:sz w:val="22"/>
          <w:szCs w:val="22"/>
        </w:rPr>
        <w:t xml:space="preserve">licenciu odníme; na odňatie licencie sa vyžaduje dvojtretinová väčšina hlasov všetkých členov Komisie.</w:t>
      </w:r>
    </w:p>
    <w:p>
      <w:pPr>
        <w:pStyle w:val="ListParagraph"/>
        <w:numPr>
          <w:ilvl w:val="0"/>
          <w:numId w:val="18"/>
        </w:numPr>
        <w:spacing w:after="60" w:line="336"/>
        <w:jc w:val="both"/>
      </w:pPr>
      <w:r>
        <w:rPr>
          <w:rFonts w:ascii="Times New Roman" w:cs="Times New Roman" w:eastAsia="Times New Roman" w:hAnsi="Times New Roman"/>
          <w:sz w:val="22"/>
          <w:szCs w:val="22"/>
        </w:rPr>
        <w:t xml:space="preserve">Proti pozastaveniu alebo odňatiu licencie sa rozhodca môže odvolať k Prezídiu FEBUS do 15 dní od doručenia rozhodnutia. Odvolanie nemá odkladný účinok. Rozhodnutie Prezídia je konečné.</w:t>
      </w:r>
    </w:p>
    <w:p>
      <w:pPr>
        <w:pStyle w:val="ListParagraph"/>
        <w:numPr>
          <w:ilvl w:val="0"/>
          <w:numId w:val="18"/>
        </w:numPr>
        <w:spacing w:after="60" w:line="336"/>
        <w:jc w:val="both"/>
      </w:pPr>
      <w:r>
        <w:rPr>
          <w:rFonts w:ascii="Times New Roman" w:cs="Times New Roman" w:eastAsia="Times New Roman" w:hAnsi="Times New Roman"/>
          <w:sz w:val="22"/>
          <w:szCs w:val="22"/>
        </w:rPr>
        <w:t xml:space="preserve">Po odňatí licencie možno o novú licenciu C požiadať najskôr po uplynutí dvadsiatich štyroch mesiacov, postupom podľa čl. 5.</w:t>
      </w:r>
    </w:p>
    <w:p>
      <w:pPr>
        <w:keepNext/>
        <w:spacing w:after="180" w:before="360" w:line="336"/>
        <w:jc w:val="left"/>
      </w:pPr>
      <w:r>
        <w:rPr>
          <w:rFonts w:ascii="Times New Roman" w:cs="Times New Roman" w:eastAsia="Times New Roman" w:hAnsi="Times New Roman"/>
          <w:b/>
          <w:bCs/>
          <w:sz w:val="30"/>
          <w:szCs w:val="30"/>
        </w:rPr>
        <w:t xml:space="preserve">Čl. 12 — Prechodné ustanovenia</w:t>
      </w:r>
    </w:p>
    <w:p>
      <w:pPr>
        <w:pStyle w:val="ListParagraph"/>
        <w:numPr>
          <w:ilvl w:val="0"/>
          <w:numId w:val="19"/>
        </w:numPr>
        <w:spacing w:after="60" w:line="336"/>
        <w:jc w:val="both"/>
      </w:pPr>
      <w:r>
        <w:rPr>
          <w:rFonts w:ascii="Times New Roman" w:cs="Times New Roman" w:eastAsia="Times New Roman" w:hAnsi="Times New Roman"/>
          <w:sz w:val="22"/>
          <w:szCs w:val="22"/>
        </w:rPr>
        <w:t xml:space="preserve">Prvých členov Komisie vymenuje Prezídium FEBUS spomedzi skúsených rozhodcov do 60 dní od nadobudnutia účinnosti tejto smernice. Vymenovaním získavajú licenciu A; požiadavky čl. 7 sa na nich nevzťahujú.</w:t>
      </w:r>
    </w:p>
    <w:p>
      <w:pPr>
        <w:pStyle w:val="ListParagraph"/>
        <w:numPr>
          <w:ilvl w:val="0"/>
          <w:numId w:val="19"/>
        </w:numPr>
        <w:spacing w:after="60" w:line="336"/>
        <w:jc w:val="both"/>
      </w:pPr>
      <w:r>
        <w:rPr>
          <w:rFonts w:ascii="Times New Roman" w:cs="Times New Roman" w:eastAsia="Times New Roman" w:hAnsi="Times New Roman"/>
          <w:sz w:val="22"/>
          <w:szCs w:val="22"/>
        </w:rPr>
        <w:t xml:space="preserve">Počas osemnástich mesiacov od nadobudnutia účinnosti tejto smernice môže Komisia uznať doterajšiu rozhodcovskú prax a udeliť licenciu zjednodušeným postupom podľa Prílohy 2.</w:t>
      </w:r>
    </w:p>
    <w:p>
      <w:pPr>
        <w:pStyle w:val="ListParagraph"/>
        <w:numPr>
          <w:ilvl w:val="0"/>
          <w:numId w:val="19"/>
        </w:numPr>
        <w:spacing w:after="60" w:line="336"/>
        <w:jc w:val="both"/>
      </w:pPr>
      <w:r>
        <w:rPr>
          <w:rFonts w:ascii="Times New Roman" w:cs="Times New Roman" w:eastAsia="Times New Roman" w:hAnsi="Times New Roman"/>
          <w:sz w:val="22"/>
          <w:szCs w:val="22"/>
        </w:rPr>
        <w:t xml:space="preserve">Po uplynutí prechodného obdobia sa licencie udeľujú výlučne postupom podľa čl. 5 až 7.</w:t>
      </w:r>
    </w:p>
    <w:p>
      <w:pPr>
        <w:keepNext/>
        <w:spacing w:after="180" w:before="360" w:line="336"/>
        <w:jc w:val="left"/>
      </w:pPr>
      <w:r>
        <w:rPr>
          <w:rFonts w:ascii="Times New Roman" w:cs="Times New Roman" w:eastAsia="Times New Roman" w:hAnsi="Times New Roman"/>
          <w:b/>
          <w:bCs/>
          <w:sz w:val="30"/>
          <w:szCs w:val="30"/>
        </w:rPr>
        <w:t xml:space="preserve">Čl. 13 — Záverečné ustanovenia</w:t>
      </w:r>
    </w:p>
    <w:p>
      <w:pPr>
        <w:pStyle w:val="ListParagraph"/>
        <w:numPr>
          <w:ilvl w:val="0"/>
          <w:numId w:val="20"/>
        </w:numPr>
        <w:spacing w:after="60" w:line="336"/>
        <w:jc w:val="both"/>
      </w:pPr>
      <w:r>
        <w:rPr>
          <w:rFonts w:ascii="Times New Roman" w:cs="Times New Roman" w:eastAsia="Times New Roman" w:hAnsi="Times New Roman"/>
          <w:sz w:val="22"/>
          <w:szCs w:val="22"/>
        </w:rPr>
        <w:t xml:space="preserve">Prílohy 1 a 2 sú neoddeliteľnou súčasťou tejto smernice. Zmeny Prílohy 1 (skúšobný poriadok) schvaľuje Prezídium na návrh Komisie.</w:t>
      </w:r>
    </w:p>
    <w:p>
      <w:pPr>
        <w:pStyle w:val="ListParagraph"/>
        <w:numPr>
          <w:ilvl w:val="0"/>
          <w:numId w:val="20"/>
        </w:numPr>
        <w:spacing w:after="60" w:line="336"/>
        <w:jc w:val="both"/>
      </w:pPr>
      <w:r>
        <w:rPr>
          <w:rFonts w:ascii="Times New Roman" w:cs="Times New Roman" w:eastAsia="Times New Roman" w:hAnsi="Times New Roman"/>
          <w:sz w:val="22"/>
          <w:szCs w:val="22"/>
        </w:rPr>
        <w:t xml:space="preserve">Táto smernica nadobúda účinnosť dňom schválenia Prezídiom FEBUS.</w:t>
      </w:r>
    </w:p>
    <w:p>
      <w:pPr>
        <w:keepNext/>
        <w:pageBreakBefore/>
        <w:spacing w:after="360" w:before="0" w:line="336"/>
        <w:jc w:val="center"/>
      </w:pPr>
      <w:r>
        <w:rPr>
          <w:rFonts w:ascii="Times New Roman" w:cs="Times New Roman" w:eastAsia="Times New Roman" w:hAnsi="Times New Roman"/>
          <w:smallCaps/>
          <w:spacing w:val="30"/>
          <w:sz w:val="40"/>
          <w:szCs w:val="40"/>
        </w:rPr>
        <w:t xml:space="preserve">Príloha 1 — Skúšobný poriadok</w:t>
      </w:r>
    </w:p>
    <w:p>
      <w:pPr>
        <w:keepNext/>
        <w:spacing w:after="180" w:before="360" w:line="336"/>
        <w:jc w:val="left"/>
      </w:pPr>
      <w:r>
        <w:rPr>
          <w:rFonts w:ascii="Times New Roman" w:cs="Times New Roman" w:eastAsia="Times New Roman" w:hAnsi="Times New Roman"/>
          <w:b/>
          <w:bCs/>
          <w:sz w:val="30"/>
          <w:szCs w:val="30"/>
        </w:rPr>
        <w:t xml:space="preserve">A. Všeobecné ustanovenia</w:t>
      </w:r>
    </w:p>
    <w:p>
      <w:pPr>
        <w:pStyle w:val="ListParagraph"/>
        <w:numPr>
          <w:ilvl w:val="0"/>
          <w:numId w:val="21"/>
        </w:numPr>
        <w:spacing w:after="60" w:line="336"/>
        <w:jc w:val="both"/>
      </w:pPr>
      <w:r>
        <w:rPr>
          <w:rFonts w:ascii="Times New Roman" w:cs="Times New Roman" w:eastAsia="Times New Roman" w:hAnsi="Times New Roman"/>
          <w:sz w:val="22"/>
          <w:szCs w:val="22"/>
        </w:rPr>
        <w:t xml:space="preserve">Termíny skúšok vyhlasuje Komisia najmenej 30 dní vopred, najmenej raz ročne.</w:t>
      </w:r>
    </w:p>
    <w:p>
      <w:pPr>
        <w:pStyle w:val="ListParagraph"/>
        <w:numPr>
          <w:ilvl w:val="0"/>
          <w:numId w:val="21"/>
        </w:numPr>
        <w:spacing w:after="60" w:line="336"/>
        <w:jc w:val="both"/>
      </w:pPr>
      <w:r>
        <w:rPr>
          <w:rFonts w:ascii="Times New Roman" w:cs="Times New Roman" w:eastAsia="Times New Roman" w:hAnsi="Times New Roman"/>
          <w:sz w:val="22"/>
          <w:szCs w:val="22"/>
        </w:rPr>
        <w:t xml:space="preserve">Skúšobnú komisiu tvoria najmenej dvaja hodnotitelia s platnou licenciou A; každého uchádzača hodnotia najmenej dvaja hodnotitelia. Počas prechodného obdobia podľa čl. 12 túto funkciu vykonávajú členovia Komisie. Pri zostavovaní skúšobnej komisie sa podľa možností dbá na to, aby uchádzača nehodnotil hodnotiteľ z rovnakého klubu.</w:t>
      </w:r>
    </w:p>
    <w:p>
      <w:pPr>
        <w:pStyle w:val="ListParagraph"/>
        <w:numPr>
          <w:ilvl w:val="0"/>
          <w:numId w:val="21"/>
        </w:numPr>
        <w:spacing w:after="60" w:line="336"/>
        <w:jc w:val="both"/>
      </w:pPr>
      <w:r>
        <w:rPr>
          <w:rFonts w:ascii="Times New Roman" w:cs="Times New Roman" w:eastAsia="Times New Roman" w:hAnsi="Times New Roman"/>
          <w:sz w:val="22"/>
          <w:szCs w:val="22"/>
        </w:rPr>
        <w:t xml:space="preserve">Neúspešný uchádzač môže skúšku opakovať na najbližšom vyhlásenom termíne.</w:t>
      </w:r>
    </w:p>
    <w:p>
      <w:pPr>
        <w:pStyle w:val="ListParagraph"/>
        <w:numPr>
          <w:ilvl w:val="0"/>
          <w:numId w:val="21"/>
        </w:numPr>
        <w:spacing w:after="60" w:line="336"/>
        <w:jc w:val="both"/>
      </w:pPr>
      <w:r>
        <w:rPr>
          <w:rFonts w:ascii="Times New Roman" w:cs="Times New Roman" w:eastAsia="Times New Roman" w:hAnsi="Times New Roman"/>
          <w:sz w:val="22"/>
          <w:szCs w:val="22"/>
        </w:rPr>
        <w:t xml:space="preserve">Úspešne zložený teoretický test platí 12 mesiacov na účely pripustenia k praktickej skúške.</w:t>
      </w:r>
    </w:p>
    <w:p>
      <w:pPr>
        <w:pStyle w:val="ListParagraph"/>
        <w:numPr>
          <w:ilvl w:val="0"/>
          <w:numId w:val="21"/>
        </w:numPr>
        <w:spacing w:after="60" w:line="336"/>
        <w:jc w:val="both"/>
      </w:pPr>
      <w:r>
        <w:rPr>
          <w:rFonts w:ascii="Times New Roman" w:cs="Times New Roman" w:eastAsia="Times New Roman" w:hAnsi="Times New Roman"/>
          <w:sz w:val="22"/>
          <w:szCs w:val="22"/>
        </w:rPr>
        <w:t xml:space="preserve">Školenie rozhodcov pre uchádzačov o licenciu C sa spravidla organizuje spoločne so skúškou (v rovnaký deň alebo víkend); jeho teoretická časť môže prebiehať online. Absolvované školenie platí 12 mesiacov na účely pripustenia ku skúške.</w:t>
      </w:r>
    </w:p>
    <w:p>
      <w:pPr>
        <w:pStyle w:val="ListParagraph"/>
        <w:numPr>
          <w:ilvl w:val="0"/>
          <w:numId w:val="21"/>
        </w:numPr>
        <w:spacing w:after="60" w:line="336"/>
        <w:jc w:val="both"/>
      </w:pPr>
      <w:r>
        <w:rPr>
          <w:rFonts w:ascii="Times New Roman" w:cs="Times New Roman" w:eastAsia="Times New Roman" w:hAnsi="Times New Roman"/>
          <w:sz w:val="22"/>
          <w:szCs w:val="22"/>
        </w:rPr>
        <w:t xml:space="preserve">Skúšobné otázky, videozáznamy a hárky so správnymi odpoveďami sú dôverné; prístup k nim má len skúšobná komisia. Sady otázok testu sa pre jednotlivých uchádzačov zostavujú z knižnice náhodným výberom. Uchádzač nesmie počas prebiehajúceho termínu skúšok sprístupniť obsah otázok iným uchádzačom; porušenie sa považuje za neúspešné absolvovanie skúšky.</w:t>
      </w:r>
    </w:p>
    <w:p>
      <w:pPr>
        <w:keepNext/>
        <w:spacing w:after="180" w:before="360" w:line="336"/>
        <w:jc w:val="left"/>
      </w:pPr>
      <w:r>
        <w:rPr>
          <w:rFonts w:ascii="Times New Roman" w:cs="Times New Roman" w:eastAsia="Times New Roman" w:hAnsi="Times New Roman"/>
          <w:b/>
          <w:bCs/>
          <w:sz w:val="30"/>
          <w:szCs w:val="30"/>
        </w:rPr>
        <w:t xml:space="preserve">B. Teoretický test</w:t>
      </w:r>
    </w:p>
    <w:p>
      <w:pPr>
        <w:pStyle w:val="ListParagraph"/>
        <w:numPr>
          <w:ilvl w:val="0"/>
          <w:numId w:val="22"/>
        </w:numPr>
        <w:spacing w:after="60" w:line="336"/>
        <w:jc w:val="both"/>
      </w:pPr>
      <w:r>
        <w:rPr>
          <w:rFonts w:ascii="Times New Roman" w:cs="Times New Roman" w:eastAsia="Times New Roman" w:hAnsi="Times New Roman"/>
          <w:sz w:val="22"/>
          <w:szCs w:val="22"/>
        </w:rPr>
        <w:t xml:space="preserve">Test prebieha online alebo prezenčne a skladá sa z dvoch častí:</w:t>
      </w:r>
    </w:p>
    <w:p>
      <w:pPr>
        <w:pStyle w:val="ListParagraph"/>
        <w:numPr>
          <w:ilvl w:val="1"/>
          <w:numId w:val="22"/>
        </w:numPr>
        <w:spacing w:after="60" w:line="336"/>
        <w:jc w:val="both"/>
      </w:pPr>
      <w:r>
        <w:rPr>
          <w:rFonts w:ascii="Times New Roman" w:cs="Times New Roman" w:eastAsia="Times New Roman" w:hAnsi="Times New Roman"/>
          <w:b/>
          <w:bCs/>
          <w:sz w:val="22"/>
          <w:szCs w:val="22"/>
        </w:rPr>
        <w:t xml:space="preserve">pravidlová časť</w:t>
      </w:r>
      <w:r>
        <w:rPr>
          <w:rFonts w:ascii="Times New Roman" w:cs="Times New Roman" w:eastAsia="Times New Roman" w:hAnsi="Times New Roman"/>
          <w:sz w:val="22"/>
          <w:szCs w:val="22"/>
        </w:rPr>
        <w:t xml:space="preserve"> — 10 otázok s výberom odpovede zo znalosti pravidiel FEBUS (priebeh a organizácia zápasu, priestupky a tresty, výstroj),</w:t>
      </w:r>
    </w:p>
    <w:p>
      <w:pPr>
        <w:pStyle w:val="ListParagraph"/>
        <w:numPr>
          <w:ilvl w:val="1"/>
          <w:numId w:val="22"/>
        </w:numPr>
        <w:spacing w:after="60" w:line="336"/>
        <w:jc w:val="both"/>
      </w:pPr>
      <w:r>
        <w:rPr>
          <w:rFonts w:ascii="Times New Roman" w:cs="Times New Roman" w:eastAsia="Times New Roman" w:hAnsi="Times New Roman"/>
          <w:b/>
          <w:bCs/>
          <w:sz w:val="22"/>
          <w:szCs w:val="22"/>
        </w:rPr>
        <w:t xml:space="preserve">video časť</w:t>
      </w:r>
      <w:r>
        <w:rPr>
          <w:rFonts w:ascii="Times New Roman" w:cs="Times New Roman" w:eastAsia="Times New Roman" w:hAnsi="Times New Roman"/>
          <w:sz w:val="22"/>
          <w:szCs w:val="22"/>
        </w:rPr>
        <w:t xml:space="preserve"> — 20 otázok zostavených z knižnice videozáznamov turnajových výmen; otázka je zodpovedaná správne, ak uchádzač správne určí výsledok výmeny; pri vybraných otázkach sa vyžaduje aj písomné odôvodnenie, ktoré posudzuje hodnotiteľ. Záznam si možno prehrať opakovane aj spomalene.</w:t>
      </w:r>
    </w:p>
    <w:p>
      <w:pPr>
        <w:pStyle w:val="ListParagraph"/>
        <w:numPr>
          <w:ilvl w:val="0"/>
          <w:numId w:val="22"/>
        </w:numPr>
        <w:spacing w:after="60" w:line="336"/>
        <w:jc w:val="both"/>
      </w:pPr>
      <w:r>
        <w:rPr>
          <w:rFonts w:ascii="Times New Roman" w:cs="Times New Roman" w:eastAsia="Times New Roman" w:hAnsi="Times New Roman"/>
          <w:sz w:val="22"/>
          <w:szCs w:val="22"/>
        </w:rPr>
        <w:t xml:space="preserve">Na úspešné absolvovanie je potrebných najmenej 80 % bodov v každej časti samostatne (pravidlová časť: najmenej 8 z 10 bodov, video časť: najmenej 16 z 20 bodov).</w:t>
      </w:r>
    </w:p>
    <w:p>
      <w:pPr>
        <w:pStyle w:val="ListParagraph"/>
        <w:numPr>
          <w:ilvl w:val="0"/>
          <w:numId w:val="22"/>
        </w:numPr>
        <w:spacing w:after="60" w:line="336"/>
        <w:jc w:val="both"/>
      </w:pPr>
      <w:r>
        <w:rPr>
          <w:rFonts w:ascii="Times New Roman" w:cs="Times New Roman" w:eastAsia="Times New Roman" w:hAnsi="Times New Roman"/>
          <w:sz w:val="22"/>
          <w:szCs w:val="22"/>
        </w:rPr>
        <w:t xml:space="preserve">Test sa skladá v zbrani s právom útoku; video časť sa zostavuje najmä zo záznamov výmen v tejto zbrani a môže obsahovať aj výmeny v ostatných zbraniach FEBUS.</w:t>
      </w:r>
    </w:p>
    <w:p>
      <w:pPr>
        <w:keepNext/>
        <w:spacing w:after="180" w:before="360" w:line="336"/>
        <w:jc w:val="left"/>
      </w:pPr>
      <w:r>
        <w:rPr>
          <w:rFonts w:ascii="Times New Roman" w:cs="Times New Roman" w:eastAsia="Times New Roman" w:hAnsi="Times New Roman"/>
          <w:b/>
          <w:bCs/>
          <w:sz w:val="30"/>
          <w:szCs w:val="30"/>
        </w:rPr>
        <w:t xml:space="preserve">C. Praktická skúška — licencia C</w:t>
      </w:r>
    </w:p>
    <w:p>
      <w:pPr>
        <w:pStyle w:val="ListParagraph"/>
        <w:numPr>
          <w:ilvl w:val="0"/>
          <w:numId w:val="23"/>
        </w:numPr>
        <w:spacing w:after="60" w:line="336"/>
        <w:jc w:val="both"/>
      </w:pPr>
      <w:r>
        <w:rPr>
          <w:rFonts w:ascii="Times New Roman" w:cs="Times New Roman" w:eastAsia="Times New Roman" w:hAnsi="Times New Roman"/>
          <w:sz w:val="22"/>
          <w:szCs w:val="22"/>
        </w:rPr>
        <w:t xml:space="preserve">Skúška prebieha v simulovanej turnajovej skupine. Skupinu uchádzačov tvorí spravidla päť osôb; pri menšom počte môže Komisia udeliť výnimku.</w:t>
      </w:r>
    </w:p>
    <w:p>
      <w:pPr>
        <w:pStyle w:val="ListParagraph"/>
        <w:numPr>
          <w:ilvl w:val="0"/>
          <w:numId w:val="23"/>
        </w:numPr>
        <w:spacing w:after="60" w:line="336"/>
        <w:jc w:val="both"/>
      </w:pPr>
      <w:r>
        <w:rPr>
          <w:rFonts w:ascii="Times New Roman" w:cs="Times New Roman" w:eastAsia="Times New Roman" w:hAnsi="Times New Roman"/>
          <w:sz w:val="22"/>
          <w:szCs w:val="22"/>
        </w:rPr>
        <w:t xml:space="preserve">Zostaví sa turnajová skupina najmenej piatich šermiarov, ktorí bojujú systémom každý s každým (jedno kolo). Skupina šermuje v zbrani s právom útoku.</w:t>
      </w:r>
    </w:p>
    <w:p>
      <w:pPr>
        <w:pStyle w:val="ListParagraph"/>
        <w:numPr>
          <w:ilvl w:val="0"/>
          <w:numId w:val="23"/>
        </w:numPr>
        <w:spacing w:after="60" w:line="336"/>
        <w:jc w:val="both"/>
      </w:pPr>
      <w:r>
        <w:rPr>
          <w:rFonts w:ascii="Times New Roman" w:cs="Times New Roman" w:eastAsia="Times New Roman" w:hAnsi="Times New Roman"/>
          <w:sz w:val="22"/>
          <w:szCs w:val="22"/>
        </w:rPr>
        <w:t xml:space="preserve">Uchádzači rotujú na stanovištiach: jeden ako hlavný rozhodca, dvaja ako postranní rozhodcovia, dvaja ako obsluha stolíka. Zápasy skupiny sa rozdelia tak, aby každý uchádzač viedol ako hlavný rozhodca rovnaký počet zápasov, najmenej dva, a na ostatných stanovištiach sa striedal rovnomerne.</w:t>
      </w:r>
    </w:p>
    <w:p>
      <w:pPr>
        <w:pStyle w:val="ListParagraph"/>
        <w:numPr>
          <w:ilvl w:val="0"/>
          <w:numId w:val="23"/>
        </w:numPr>
        <w:spacing w:after="60" w:line="336"/>
        <w:jc w:val="both"/>
      </w:pPr>
      <w:r>
        <w:rPr>
          <w:rFonts w:ascii="Times New Roman" w:cs="Times New Roman" w:eastAsia="Times New Roman" w:hAnsi="Times New Roman"/>
          <w:sz w:val="22"/>
          <w:szCs w:val="22"/>
        </w:rPr>
        <w:t xml:space="preserve">Hodnotí sa: znalosť a správne uplatňovanie pravidiel FEBUS, posúdenie sporných situácií, zrozumiteľnosť komunikácie, schopnosť vysvetliť situáciu a odôvodniť rozhodnutie, vedenie času a protokolu.</w:t>
      </w:r>
    </w:p>
    <w:p>
      <w:pPr>
        <w:pStyle w:val="ListParagraph"/>
        <w:numPr>
          <w:ilvl w:val="0"/>
          <w:numId w:val="23"/>
        </w:numPr>
        <w:spacing w:after="60" w:line="336"/>
        <w:jc w:val="both"/>
      </w:pPr>
      <w:r>
        <w:rPr>
          <w:rFonts w:ascii="Times New Roman" w:cs="Times New Roman" w:eastAsia="Times New Roman" w:hAnsi="Times New Roman"/>
          <w:sz w:val="22"/>
          <w:szCs w:val="22"/>
        </w:rPr>
        <w:t xml:space="preserve">Skúška je úspešná, ak udelenie licencie podporia najmenej dvaja hodnotitelia prítomní na skúške.</w:t>
      </w:r>
    </w:p>
    <w:p>
      <w:pPr>
        <w:keepNext/>
        <w:spacing w:after="180" w:before="360" w:line="336"/>
        <w:jc w:val="left"/>
      </w:pPr>
      <w:r>
        <w:rPr>
          <w:rFonts w:ascii="Times New Roman" w:cs="Times New Roman" w:eastAsia="Times New Roman" w:hAnsi="Times New Roman"/>
          <w:b/>
          <w:bCs/>
          <w:sz w:val="30"/>
          <w:szCs w:val="30"/>
        </w:rPr>
        <w:t xml:space="preserve">D. Praktická skúška — licencia B</w:t>
      </w:r>
    </w:p>
    <w:p>
      <w:pPr>
        <w:pStyle w:val="ListParagraph"/>
        <w:numPr>
          <w:ilvl w:val="0"/>
          <w:numId w:val="24"/>
        </w:numPr>
        <w:spacing w:after="60" w:line="336"/>
        <w:jc w:val="both"/>
      </w:pPr>
      <w:r>
        <w:rPr>
          <w:rFonts w:ascii="Times New Roman" w:cs="Times New Roman" w:eastAsia="Times New Roman" w:hAnsi="Times New Roman"/>
          <w:sz w:val="22"/>
          <w:szCs w:val="22"/>
        </w:rPr>
        <w:t xml:space="preserve">Praktickej skúške predchádza povinné prípravné stretnutie uchádzačov vedené skúšobnou komisiou, spravidla v deň skúšky. Jeho obsahom je vysvetlenie priebehu a hodnotenia skúšky, aktuálnych pravidiel a spôsobu ich uplatňovania. Účasť na prípravnom stretnutí je podmienkou pripustenia ku skúške.</w:t>
      </w:r>
    </w:p>
    <w:p>
      <w:pPr>
        <w:pStyle w:val="ListParagraph"/>
        <w:numPr>
          <w:ilvl w:val="0"/>
          <w:numId w:val="24"/>
        </w:numPr>
        <w:spacing w:after="60" w:line="336"/>
        <w:jc w:val="both"/>
      </w:pPr>
      <w:r>
        <w:rPr>
          <w:rFonts w:ascii="Times New Roman" w:cs="Times New Roman" w:eastAsia="Times New Roman" w:hAnsi="Times New Roman"/>
          <w:sz w:val="22"/>
          <w:szCs w:val="22"/>
        </w:rPr>
        <w:t xml:space="preserve">Uchádzač samostatne vedie celú turnajovú skupinu najmenej piatich šermiarov vo funkcii hlavného rozhodcu; pridelený mu je tím na obsluhu stolíka. Skupina šermuje v zbrani s právom útoku.</w:t>
      </w:r>
    </w:p>
    <w:p>
      <w:pPr>
        <w:pStyle w:val="ListParagraph"/>
        <w:numPr>
          <w:ilvl w:val="0"/>
          <w:numId w:val="24"/>
        </w:numPr>
        <w:spacing w:after="60" w:line="336"/>
        <w:jc w:val="both"/>
      </w:pPr>
      <w:r>
        <w:rPr>
          <w:rFonts w:ascii="Times New Roman" w:cs="Times New Roman" w:eastAsia="Times New Roman" w:hAnsi="Times New Roman"/>
          <w:sz w:val="22"/>
          <w:szCs w:val="22"/>
        </w:rPr>
        <w:t xml:space="preserve">Skúšobná komisia pred začatím skúšky určí jej časť, ktorá bude prebiehať v anglickom jazyku vrátane vedenia zápasu, vysvetlenia situácií a odôvodnenia rozhodnutí, a oznámi ju uchádzačovi.</w:t>
      </w:r>
    </w:p>
    <w:p>
      <w:pPr>
        <w:pStyle w:val="ListParagraph"/>
        <w:numPr>
          <w:ilvl w:val="0"/>
          <w:numId w:val="24"/>
        </w:numPr>
        <w:spacing w:after="60" w:line="336"/>
        <w:jc w:val="both"/>
      </w:pPr>
      <w:r>
        <w:rPr>
          <w:rFonts w:ascii="Times New Roman" w:cs="Times New Roman" w:eastAsia="Times New Roman" w:hAnsi="Times New Roman"/>
          <w:sz w:val="22"/>
          <w:szCs w:val="22"/>
        </w:rPr>
        <w:t xml:space="preserve">Hodnotia sa kritériá podľa časti C ods. 4 a navyše samostatnosť, autorita pri vedení zápasu a jazyková spôsobilosť.</w:t>
      </w:r>
    </w:p>
    <w:p>
      <w:pPr>
        <w:pStyle w:val="ListParagraph"/>
        <w:numPr>
          <w:ilvl w:val="0"/>
          <w:numId w:val="24"/>
        </w:numPr>
        <w:spacing w:after="60" w:line="336"/>
        <w:jc w:val="both"/>
      </w:pPr>
      <w:r>
        <w:rPr>
          <w:rFonts w:ascii="Times New Roman" w:cs="Times New Roman" w:eastAsia="Times New Roman" w:hAnsi="Times New Roman"/>
          <w:sz w:val="22"/>
          <w:szCs w:val="22"/>
        </w:rPr>
        <w:t xml:space="preserve">Skúška je úspešná, ak udelenie licencie podporia najmenej dvaja hodnotitelia prítomní na skúške.</w:t>
      </w:r>
    </w:p>
    <w:p>
      <w:pPr>
        <w:keepNext/>
        <w:spacing w:after="180" w:before="360" w:line="336"/>
        <w:jc w:val="left"/>
      </w:pPr>
      <w:r>
        <w:rPr>
          <w:rFonts w:ascii="Times New Roman" w:cs="Times New Roman" w:eastAsia="Times New Roman" w:hAnsi="Times New Roman"/>
          <w:b/>
          <w:bCs/>
          <w:sz w:val="30"/>
          <w:szCs w:val="30"/>
        </w:rPr>
        <w:t xml:space="preserve">E. Hodnotiace hárky</w:t>
      </w:r>
    </w:p>
    <w:p>
      <w:pPr>
        <w:pStyle w:val="ListParagraph"/>
        <w:numPr>
          <w:ilvl w:val="0"/>
          <w:numId w:val="25"/>
        </w:numPr>
        <w:spacing w:after="60" w:line="336"/>
        <w:jc w:val="both"/>
      </w:pPr>
      <w:r>
        <w:rPr>
          <w:rFonts w:ascii="Times New Roman" w:cs="Times New Roman" w:eastAsia="Times New Roman" w:hAnsi="Times New Roman"/>
          <w:sz w:val="22"/>
          <w:szCs w:val="22"/>
        </w:rPr>
        <w:t xml:space="preserve">Komisia vydá vzor hodnotiaceho hárku s kritériami podľa častí C a D. Vyplnené hárky sa archivujú spolu so záznamom o skúške.</w:t>
      </w:r>
    </w:p>
    <w:p>
      <w:pPr>
        <w:keepNext/>
        <w:pageBreakBefore/>
        <w:spacing w:after="360" w:before="0" w:line="336"/>
        <w:jc w:val="center"/>
      </w:pPr>
      <w:r>
        <w:rPr>
          <w:rFonts w:ascii="Times New Roman" w:cs="Times New Roman" w:eastAsia="Times New Roman" w:hAnsi="Times New Roman"/>
          <w:smallCaps/>
          <w:spacing w:val="30"/>
          <w:sz w:val="40"/>
          <w:szCs w:val="40"/>
        </w:rPr>
        <w:t xml:space="preserve">Príloha 2 — Prechodné uznanie praxe</w:t>
      </w:r>
    </w:p>
    <w:p>
      <w:pPr>
        <w:pStyle w:val="ListParagraph"/>
        <w:numPr>
          <w:ilvl w:val="0"/>
          <w:numId w:val="26"/>
        </w:numPr>
        <w:spacing w:after="60" w:line="336"/>
        <w:jc w:val="both"/>
      </w:pPr>
      <w:r>
        <w:rPr>
          <w:rFonts w:ascii="Times New Roman" w:cs="Times New Roman" w:eastAsia="Times New Roman" w:hAnsi="Times New Roman"/>
          <w:sz w:val="22"/>
          <w:szCs w:val="22"/>
        </w:rPr>
        <w:t xml:space="preserve">Počas prechodného obdobia (čl. 12 ods. 2) môže Komisia na základe písomnej žiadosti udeliť licenciu zjednodušeným postupom:</w:t>
      </w:r>
    </w:p>
    <w:p>
      <w:pPr>
        <w:spacing w:after="80"/>
      </w:pPr>
    </w:p>
    <w:tbl>
      <w:tblPr>
        <w:tblW w:type="dxa" w:w="9072"/>
        <w:tblBorders>
          <w:top w:val="single" w:color="333333" w:sz="12"/>
          <w:left w:val="none" w:color="FFFFFF" w:sz="0"/>
          <w:bottom w:val="single" w:color="333333" w:sz="12"/>
          <w:right w:val="none" w:color="FFFFFF" w:sz="0"/>
          <w:insideH w:val="single" w:color="CCCCCC" w:sz="4"/>
          <w:insideV w:val="none" w:color="FFFFFF" w:sz="0"/>
        </w:tblBorders>
      </w:tblPr>
      <w:tblGrid>
        <w:gridCol w:w="4500"/>
        <w:gridCol w:w="2000"/>
        <w:gridCol w:w="2572"/>
      </w:tblGrid>
      <w:tr>
        <w:trPr>
          <w:tblHeader/>
        </w:trPr>
        <w:tc>
          <w:tcPr>
            <w:tcW w:type="dxa" w:w="4500"/>
            <w:tcBorders>
              <w:bottom w:val="single" w:color="333333" w:sz="8"/>
            </w:tcBorders>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b/>
                <w:bCs/>
                <w:smallCaps/>
                <w:sz w:val="20"/>
                <w:szCs w:val="20"/>
              </w:rPr>
              <w:t xml:space="preserve">Preukázaná prax za posledné 3 roky</w:t>
            </w:r>
          </w:p>
        </w:tc>
        <w:tc>
          <w:tcPr>
            <w:tcW w:type="dxa" w:w="2000"/>
            <w:tcBorders>
              <w:bottom w:val="single" w:color="333333" w:sz="8"/>
            </w:tcBorders>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b/>
                <w:bCs/>
                <w:smallCaps/>
                <w:sz w:val="20"/>
                <w:szCs w:val="20"/>
              </w:rPr>
              <w:t xml:space="preserve">Udelená licencia</w:t>
            </w:r>
          </w:p>
        </w:tc>
        <w:tc>
          <w:tcPr>
            <w:tcW w:type="dxa" w:w="2572"/>
            <w:tcBorders>
              <w:bottom w:val="single" w:color="333333" w:sz="8"/>
            </w:tcBorders>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b/>
                <w:bCs/>
                <w:smallCaps/>
                <w:sz w:val="20"/>
                <w:szCs w:val="20"/>
              </w:rPr>
              <w:t xml:space="preserve">Vyžaduje sa</w:t>
            </w:r>
          </w:p>
        </w:tc>
      </w:tr>
      <w:tr>
        <w:trPr>
          <w:tblHeader w:val="false"/>
        </w:trPr>
        <w:tc>
          <w:tcPr>
            <w:tcW w:type="dxa" w:w="4500"/>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sz w:val="20"/>
                <w:szCs w:val="20"/>
              </w:rPr>
              <w:t xml:space="preserve">Hlavný rozhodca na najmenej 5 turnajoch</w:t>
            </w:r>
          </w:p>
        </w:tc>
        <w:tc>
          <w:tcPr>
            <w:tcW w:type="dxa" w:w="2000"/>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sz w:val="20"/>
                <w:szCs w:val="20"/>
              </w:rPr>
              <w:t xml:space="preserve">B</w:t>
            </w:r>
          </w:p>
        </w:tc>
        <w:tc>
          <w:tcPr>
            <w:tcW w:type="dxa" w:w="2572"/>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sz w:val="20"/>
                <w:szCs w:val="20"/>
              </w:rPr>
              <w:t xml:space="preserve">teoretický test</w:t>
            </w:r>
          </w:p>
        </w:tc>
      </w:tr>
      <w:tr>
        <w:trPr>
          <w:tblHeader w:val="false"/>
        </w:trPr>
        <w:tc>
          <w:tcPr>
            <w:tcW w:type="dxa" w:w="4500"/>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sz w:val="20"/>
                <w:szCs w:val="20"/>
              </w:rPr>
              <w:t xml:space="preserve">Hlavný alebo postranný rozhodca na najmenej 2 turnajoch</w:t>
            </w:r>
          </w:p>
        </w:tc>
        <w:tc>
          <w:tcPr>
            <w:tcW w:type="dxa" w:w="2000"/>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sz w:val="20"/>
                <w:szCs w:val="20"/>
              </w:rPr>
              <w:t xml:space="preserve">C</w:t>
            </w:r>
          </w:p>
        </w:tc>
        <w:tc>
          <w:tcPr>
            <w:tcW w:type="dxa" w:w="2572"/>
            <w:tcMar>
              <w:top w:type="dxa" w:w="80"/>
              <w:left w:type="dxa" w:w="120"/>
              <w:bottom w:type="dxa" w:w="80"/>
              <w:right w:type="dxa" w:w="120"/>
            </w:tcMar>
            <w:vAlign w:val="center"/>
          </w:tcPr>
          <w:p>
            <w:pPr>
              <w:spacing w:after="0" w:line="276"/>
              <w:jc w:val="left"/>
            </w:pPr>
            <w:r>
              <w:rPr>
                <w:rFonts w:ascii="Times New Roman" w:cs="Times New Roman" w:eastAsia="Times New Roman" w:hAnsi="Times New Roman"/>
                <w:sz w:val="20"/>
                <w:szCs w:val="20"/>
              </w:rPr>
              <w:t xml:space="preserve">teoretický test</w:t>
            </w:r>
          </w:p>
        </w:tc>
      </w:tr>
    </w:tbl>
    <w:p>
      <w:pPr>
        <w:spacing w:after="80"/>
      </w:pPr>
    </w:p>
    <w:p>
      <w:pPr>
        <w:pStyle w:val="ListParagraph"/>
        <w:numPr>
          <w:ilvl w:val="0"/>
          <w:numId w:val="26"/>
        </w:numPr>
        <w:spacing w:after="60" w:line="336"/>
        <w:jc w:val="both"/>
      </w:pPr>
      <w:r>
        <w:rPr>
          <w:rFonts w:ascii="Times New Roman" w:cs="Times New Roman" w:eastAsia="Times New Roman" w:hAnsi="Times New Roman"/>
          <w:sz w:val="22"/>
          <w:szCs w:val="22"/>
        </w:rPr>
        <w:t xml:space="preserve">Prax sa preukazuje výsledkovými listinami, potvrdením organizátora turnaja alebo čestným vyhlásením potvrdeným členom Komisie.</w:t>
      </w:r>
    </w:p>
    <w:p>
      <w:pPr>
        <w:pStyle w:val="ListParagraph"/>
        <w:numPr>
          <w:ilvl w:val="0"/>
          <w:numId w:val="26"/>
        </w:numPr>
        <w:spacing w:after="60" w:line="336"/>
        <w:jc w:val="both"/>
      </w:pPr>
      <w:r>
        <w:rPr>
          <w:rFonts w:ascii="Times New Roman" w:cs="Times New Roman" w:eastAsia="Times New Roman" w:hAnsi="Times New Roman"/>
          <w:sz w:val="22"/>
          <w:szCs w:val="22"/>
        </w:rPr>
        <w:t xml:space="preserve">Na uznanie praxe nie je právny nárok; Komisia môže žiadateľa odkázať na skúšku podľa čl. 5 alebo 6.</w:t>
      </w:r>
    </w:p>
    <w:p>
      <w:pPr>
        <w:keepNext/>
        <w:pageBreakBefore/>
        <w:spacing w:after="180" w:before="360" w:line="336"/>
        <w:jc w:val="left"/>
      </w:pPr>
      <w:r>
        <w:rPr>
          <w:rFonts w:ascii="Times New Roman" w:cs="Times New Roman" w:eastAsia="Times New Roman" w:hAnsi="Times New Roman"/>
          <w:b/>
          <w:bCs/>
          <w:sz w:val="30"/>
          <w:szCs w:val="30"/>
        </w:rPr>
        <w:t xml:space="preserve">Poznámka pre pripomienkovanie (nie je súčasťou normatívneho textu)</w:t>
      </w:r>
    </w:p>
    <w:p>
      <w:pPr>
        <w:spacing w:after="160" w:line="336"/>
        <w:jc w:val="both"/>
      </w:pPr>
      <w:r>
        <w:rPr>
          <w:rFonts w:ascii="Times New Roman" w:cs="Times New Roman" w:eastAsia="Times New Roman" w:hAnsi="Times New Roman"/>
          <w:sz w:val="22"/>
          <w:szCs w:val="22"/>
        </w:rPr>
        <w:t xml:space="preserve">Na pripomienkovanie sa predkladajú najmä tieto hodnoty:</w:t>
      </w:r>
    </w:p>
    <w:p>
      <w:pPr>
        <w:pStyle w:val="ListParagraph"/>
        <w:numPr>
          <w:ilvl w:val="0"/>
          <w:numId w:val="27"/>
        </w:numPr>
        <w:spacing w:after="60" w:line="336"/>
        <w:jc w:val="both"/>
      </w:pPr>
      <w:r>
        <w:rPr>
          <w:rFonts w:ascii="Times New Roman" w:cs="Times New Roman" w:eastAsia="Times New Roman" w:hAnsi="Times New Roman"/>
          <w:sz w:val="22"/>
          <w:szCs w:val="22"/>
        </w:rPr>
        <w:t xml:space="preserve">počet členov Komisie: </w:t>
      </w:r>
      <w:r>
        <w:rPr>
          <w:rFonts w:ascii="Times New Roman" w:cs="Times New Roman" w:eastAsia="Times New Roman" w:hAnsi="Times New Roman"/>
          <w:b/>
          <w:bCs/>
          <w:sz w:val="22"/>
          <w:szCs w:val="22"/>
        </w:rPr>
        <w:t xml:space="preserve">3–5</w:t>
      </w:r>
      <w:r>
        <w:rPr>
          <w:rFonts w:ascii="Times New Roman" w:cs="Times New Roman" w:eastAsia="Times New Roman" w:hAnsi="Times New Roman"/>
          <w:sz w:val="22"/>
          <w:szCs w:val="22"/>
        </w:rPr>
        <w:t xml:space="preserve">, funkčné obdobie </w:t>
      </w:r>
      <w:r>
        <w:rPr>
          <w:rFonts w:ascii="Times New Roman" w:cs="Times New Roman" w:eastAsia="Times New Roman" w:hAnsi="Times New Roman"/>
          <w:b/>
          <w:bCs/>
          <w:sz w:val="22"/>
          <w:szCs w:val="22"/>
        </w:rPr>
        <w:t xml:space="preserve">3 roky</w:t>
      </w:r>
      <w:r>
        <w:rPr>
          <w:rFonts w:ascii="Times New Roman" w:cs="Times New Roman" w:eastAsia="Times New Roman" w:hAnsi="Times New Roman"/>
          <w:sz w:val="22"/>
          <w:szCs w:val="22"/>
        </w:rPr>
        <w:t xml:space="preserve"> (čl. 3),</w:t>
      </w:r>
    </w:p>
    <w:p>
      <w:pPr>
        <w:pStyle w:val="ListParagraph"/>
        <w:numPr>
          <w:ilvl w:val="0"/>
          <w:numId w:val="27"/>
        </w:numPr>
        <w:spacing w:after="60" w:line="336"/>
        <w:jc w:val="both"/>
      </w:pPr>
      <w:r>
        <w:rPr>
          <w:rFonts w:ascii="Times New Roman" w:cs="Times New Roman" w:eastAsia="Times New Roman" w:hAnsi="Times New Roman"/>
          <w:sz w:val="22"/>
          <w:szCs w:val="22"/>
        </w:rPr>
        <w:t xml:space="preserve">platnosť licencie: </w:t>
      </w:r>
      <w:r>
        <w:rPr>
          <w:rFonts w:ascii="Times New Roman" w:cs="Times New Roman" w:eastAsia="Times New Roman" w:hAnsi="Times New Roman"/>
          <w:b/>
          <w:bCs/>
          <w:sz w:val="22"/>
          <w:szCs w:val="22"/>
        </w:rPr>
        <w:t xml:space="preserve">do 31. 12. druhého roka po udelení/obnove</w:t>
      </w:r>
      <w:r>
        <w:rPr>
          <w:rFonts w:ascii="Times New Roman" w:cs="Times New Roman" w:eastAsia="Times New Roman" w:hAnsi="Times New Roman"/>
          <w:sz w:val="22"/>
          <w:szCs w:val="22"/>
        </w:rPr>
        <w:t xml:space="preserve"> (čl. 9 ods. 1),</w:t>
      </w:r>
    </w:p>
    <w:p>
      <w:pPr>
        <w:pStyle w:val="ListParagraph"/>
        <w:numPr>
          <w:ilvl w:val="0"/>
          <w:numId w:val="27"/>
        </w:numPr>
        <w:spacing w:after="60" w:line="336"/>
        <w:jc w:val="both"/>
      </w:pPr>
      <w:r>
        <w:rPr>
          <w:rFonts w:ascii="Times New Roman" w:cs="Times New Roman" w:eastAsia="Times New Roman" w:hAnsi="Times New Roman"/>
          <w:sz w:val="22"/>
          <w:szCs w:val="22"/>
        </w:rPr>
        <w:t xml:space="preserve">minimálna aktivita na obnovu: </w:t>
      </w:r>
      <w:r>
        <w:rPr>
          <w:rFonts w:ascii="Times New Roman" w:cs="Times New Roman" w:eastAsia="Times New Roman" w:hAnsi="Times New Roman"/>
          <w:b/>
          <w:bCs/>
          <w:sz w:val="22"/>
          <w:szCs w:val="22"/>
        </w:rPr>
        <w:t xml:space="preserve">1 turnaj, 1 seminár alebo výkon funkcie hodnotiteľa na skúškach</w:t>
      </w:r>
      <w:r>
        <w:rPr>
          <w:rFonts w:ascii="Times New Roman" w:cs="Times New Roman" w:eastAsia="Times New Roman" w:hAnsi="Times New Roman"/>
          <w:sz w:val="22"/>
          <w:szCs w:val="22"/>
        </w:rPr>
        <w:t xml:space="preserve"> (čl. 9 ods. 2),</w:t>
      </w:r>
    </w:p>
    <w:p>
      <w:pPr>
        <w:pStyle w:val="ListParagraph"/>
        <w:numPr>
          <w:ilvl w:val="0"/>
          <w:numId w:val="27"/>
        </w:numPr>
        <w:spacing w:after="60" w:line="336"/>
        <w:jc w:val="both"/>
      </w:pPr>
      <w:r>
        <w:rPr>
          <w:rFonts w:ascii="Times New Roman" w:cs="Times New Roman" w:eastAsia="Times New Roman" w:hAnsi="Times New Roman"/>
          <w:sz w:val="22"/>
          <w:szCs w:val="22"/>
        </w:rPr>
        <w:t xml:space="preserve">prístup k licencii A: </w:t>
      </w:r>
      <w:r>
        <w:rPr>
          <w:rFonts w:ascii="Times New Roman" w:cs="Times New Roman" w:eastAsia="Times New Roman" w:hAnsi="Times New Roman"/>
          <w:b/>
          <w:bCs/>
          <w:sz w:val="22"/>
          <w:szCs w:val="22"/>
        </w:rPr>
        <w:t xml:space="preserve">3 roky s licenciou B, 10 turnajov, 2 zbrane</w:t>
      </w:r>
      <w:r>
        <w:rPr>
          <w:rFonts w:ascii="Times New Roman" w:cs="Times New Roman" w:eastAsia="Times New Roman" w:hAnsi="Times New Roman"/>
          <w:sz w:val="22"/>
          <w:szCs w:val="22"/>
        </w:rPr>
        <w:t xml:space="preserve"> (čl. 7),</w:t>
      </w:r>
    </w:p>
    <w:p>
      <w:pPr>
        <w:pStyle w:val="ListParagraph"/>
        <w:numPr>
          <w:ilvl w:val="0"/>
          <w:numId w:val="27"/>
        </w:numPr>
        <w:spacing w:after="60" w:line="336"/>
        <w:jc w:val="both"/>
      </w:pPr>
      <w:r>
        <w:rPr>
          <w:rFonts w:ascii="Times New Roman" w:cs="Times New Roman" w:eastAsia="Times New Roman" w:hAnsi="Times New Roman"/>
          <w:sz w:val="22"/>
          <w:szCs w:val="22"/>
        </w:rPr>
        <w:t xml:space="preserve">lehoty pri sťažnostiach: </w:t>
      </w:r>
      <w:r>
        <w:rPr>
          <w:rFonts w:ascii="Times New Roman" w:cs="Times New Roman" w:eastAsia="Times New Roman" w:hAnsi="Times New Roman"/>
          <w:b/>
          <w:bCs/>
          <w:sz w:val="22"/>
          <w:szCs w:val="22"/>
        </w:rPr>
        <w:t xml:space="preserve">14 / 30 / 15 dní</w:t>
      </w:r>
      <w:r>
        <w:rPr>
          <w:rFonts w:ascii="Times New Roman" w:cs="Times New Roman" w:eastAsia="Times New Roman" w:hAnsi="Times New Roman"/>
          <w:sz w:val="22"/>
          <w:szCs w:val="22"/>
        </w:rPr>
        <w:t xml:space="preserve"> (čl. 11),</w:t>
      </w:r>
    </w:p>
    <w:p>
      <w:pPr>
        <w:pStyle w:val="ListParagraph"/>
        <w:numPr>
          <w:ilvl w:val="0"/>
          <w:numId w:val="27"/>
        </w:numPr>
        <w:spacing w:after="60" w:line="336"/>
        <w:jc w:val="both"/>
      </w:pPr>
      <w:r>
        <w:rPr>
          <w:rFonts w:ascii="Times New Roman" w:cs="Times New Roman" w:eastAsia="Times New Roman" w:hAnsi="Times New Roman"/>
          <w:sz w:val="22"/>
          <w:szCs w:val="22"/>
        </w:rPr>
        <w:t xml:space="preserve">prechodné obdobie: </w:t>
      </w:r>
      <w:r>
        <w:rPr>
          <w:rFonts w:ascii="Times New Roman" w:cs="Times New Roman" w:eastAsia="Times New Roman" w:hAnsi="Times New Roman"/>
          <w:b/>
          <w:bCs/>
          <w:sz w:val="22"/>
          <w:szCs w:val="22"/>
        </w:rPr>
        <w:t xml:space="preserve">18 mesiacov</w:t>
      </w:r>
      <w:r>
        <w:rPr>
          <w:rFonts w:ascii="Times New Roman" w:cs="Times New Roman" w:eastAsia="Times New Roman" w:hAnsi="Times New Roman"/>
          <w:sz w:val="22"/>
          <w:szCs w:val="22"/>
        </w:rPr>
        <w:t xml:space="preserve">, prahy uznania praxe podľa Prílohy 2.</w:t>
      </w:r>
    </w:p>
    <w:sectPr>
      <w:headerReference w:type="default" r:id="rId7"/>
      <w:headerReference w:type="first" r:id="rId8"/>
      <w:footerReference w:type="default" r:id="rId9"/>
      <w:footerReference w:type="first" r:id="rId10"/>
      <w:pgSz w:w="11906" w:h="16838" w:orient="portrait"/>
      <w:pgMar w:top="1701" w:right="1417" w:bottom="1701"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pacing w:val="20"/>
        <w:sz w:val="18"/>
        <w:szCs w:val="18"/>
      </w:rPr>
      <w:t xml:space="preserve">SMERNICA FEBUS O ROZHODCOCH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97"/>
      </w:pPr>
    </w:lvl>
    <w:lvl w:ilvl="1" w15:tentative="1">
      <w:start w:val="1"/>
      <w:numFmt w:val="decimal"/>
      <w:lvlText w:val="%2."/>
      <w:lvlJc w:val="left"/>
      <w:pPr>
        <w:ind w:left="1134" w:hanging="397"/>
      </w:pPr>
    </w:lvl>
    <w:lvl w:ilvl="2" w15:tentative="1">
      <w:start w:val="1"/>
      <w:numFmt w:val="decimal"/>
      <w:lvlText w:val="%3."/>
      <w:lvlJc w:val="left"/>
      <w:pPr>
        <w:ind w:left="1701" w:hanging="397"/>
      </w:pPr>
    </w:lvl>
  </w:abstractNum>
  <w:abstractNum w:abstractNumId="3"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1b064f8e9db3017a30a1d496c4972f37dc48ed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Smernica FEBUS o certifikácii a činnosti rozhodcov</dc:title>
  <dc:creator>FEBUS</dc:creator>
  <cp:lastModifiedBy>Un-named</cp:lastModifiedBy>
  <cp:revision>1</cp:revision>
  <dcterms:created xsi:type="dcterms:W3CDTF">2026-07-26T10:19:35.234Z</dcterms:created>
  <dcterms:modified xsi:type="dcterms:W3CDTF">2026-07-26T10:19:35.240Z</dcterms:modified>
</cp:coreProperties>
</file>

<file path=docProps/custom.xml><?xml version="1.0" encoding="utf-8"?>
<Properties xmlns="http://schemas.openxmlformats.org/officeDocument/2006/custom-properties" xmlns:vt="http://schemas.openxmlformats.org/officeDocument/2006/docPropsVTypes"/>
</file>