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20" w:after="80"/>
      </w:pPr>
      <w:r>
        <w:rPr>
          <w:rFonts w:ascii="Calibri" w:hAnsi="Calibri"/>
          <w:b/>
          <w:color w:val="6656E8"/>
          <w:sz w:val="18"/>
        </w:rPr>
        <w:t>PARTNER IMPLEMENTATION SPECIFICATION · VERSION 2</w:t>
      </w:r>
    </w:p>
    <w:p>
      <w:pPr>
        <w:pStyle w:val="Title"/>
        <w:spacing w:after="80" w:line="240" w:lineRule="auto"/>
      </w:pPr>
      <w:r>
        <w:rPr>
          <w:rFonts w:ascii="Calibri" w:hAnsi="Calibri"/>
          <w:b/>
          <w:color w:val="17365D"/>
          <w:sz w:val="52"/>
        </w:rPr>
        <w:t>OlyLife–VCCHUB Wallet Activation &amp; Card Program (Version 2)</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V2.1 confirmation matrix</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0.12 (V2.1 shared-delivery proposals)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rPr>
          <w:rFonts w:ascii="Calibri" w:hAnsi="Calibri"/>
          <w:b/>
          <w:color w:val="6656E8"/>
          <w:sz w:val="18"/>
        </w:rPr>
        <w:t xml:space="preserve">Purpose  </w:t>
      </w:r>
      <w:r>
        <w:rPr>
          <w:rFonts w:ascii="Calibri" w:hAnsi="Calibri"/>
          <w:b w:val="0"/>
          <w:color w:val="6656E8"/>
          <w:sz w:val="18"/>
        </w:rPr>
        <w:t>Define who must build, expose, consume, operate and test each component of the Version 2 journey, where an OlyLife member starts in VCCHUB. This is a new V2 implementation baseline; the prior English document remains retained as the V1 reference. Final commercial terms, API schemas and regulatory decisions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V2.</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wallet-to-card top-up, authenticated cancellation, transaction history and Issuing capability mapping.</w:t>
      </w:r>
    </w:p>
    <w:p>
      <w:pPr>
        <w:spacing w:before="0" w:after="560"/>
        <w:pageBreakBefore/>
      </w:pP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br w:type="page"/>
      </w:r>
    </w:p>
    <w:p>
      <w:pPr>
        <w:pStyle w:val="Heading1"/>
        <w:keepNext/>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b w:val="0"/>
          <w:color w:val="32936F"/>
          <w:sz w:val="20"/>
        </w:rPr>
        <w:t>VCCHUB is the V2 onboarding entry point. VCCHUB calls OlyLife for authoritative member eligibility and basic member data, while OlyLife initiates and approves commission-funded wallet top-ups. VCCHUB keeps wallet/card APIs internal except for the partner-facing wallet credit/status interfaces needed by OlyLife.</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on whether the email belongs to an active eligible member; returns Member ID, First Name and Last Name.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using the email entered during wallet-user sign-up.</w:t>
      </w:r>
    </w:p>
    <w:p>
      <w:pPr>
        <w:numPr>
          <w:ilvl w:val="0"/>
          <w:numId w:val="10"/>
        </w:numPr>
      </w:pPr>
      <w:r>
        <w:rPr>
          <w:rFonts w:ascii="Calibri" w:hAnsi="Calibri"/>
          <w:color w:val="182230"/>
          <w:sz w:val="22"/>
        </w:rPr>
        <w:t>Return an active-member result with Member ID, First Name, Last Name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V2 wallet-user entry point, onboarding journey and wallet/card product orchestration.</w:t>
      </w:r>
    </w:p>
    <w:p>
      <w:pPr>
        <w:numPr>
          <w:ilvl w:val="0"/>
          <w:numId w:val="10"/>
        </w:numPr>
      </w:pPr>
      <w:r>
        <w:rPr>
          <w:rFonts w:ascii="Calibri" w:hAnsi="Calibri"/>
          <w:color w:val="182230"/>
          <w:sz w:val="22"/>
        </w:rPr>
        <w:t>Provide Sign up as a wallet user, call the OlyLife member-validation API and handle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First Name and Last Name into registration; keep the email as username and collect phone, password and full registered address.</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show every card as a separate actionable record, use the configured OlyLife office address for physical fulfilment and provide authenticated card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the entered email to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First Name and Last Name; username=email;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Permit one active virtual plus one active physical card and list both separately; physical uses the configured OlyLife office delivery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V2,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First Name, Last Name,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values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V2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jc w:val="left"/>
        <w:tblLayout w:type="fixed"/>
        <w:tblLook w:firstColumn="1" w:firstRow="1" w:lastColumn="0" w:lastRow="0" w:noHBand="0" w:noVBand="1" w:val="04A0"/>
        <w:tblInd w:w="120" w:type="dxa"/>
      </w:tblPr>
      <w:tblGrid>
        <w:gridCol w:w="1320"/>
        <w:gridCol w:w="2880"/>
        <w:gridCol w:w="3700"/>
        <w:gridCol w:w="1460"/>
      </w:tblGrid>
      <w:tr>
        <w:trPr>
          <w:cantSplit/>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active cardholder and funded wallet; allow one active virtual and one active physical card</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 and registered address read-only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debit Wallet and credit card atomically; debit applicable VCCHUB card fees from Wallet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jc w:val="left"/>
        <w:tblLayout w:type="fixed"/>
        <w:tblLook w:firstColumn="1" w:firstRow="1" w:lastColumn="0" w:lastRow="0" w:noHBand="0" w:noVBand="1" w:val="04A0"/>
        <w:tblInd w:w="120" w:type="dxa"/>
      </w:tblPr>
      <w:tblGrid>
        <w:gridCol w:w="1900"/>
        <w:gridCol w:w="5000"/>
        <w:gridCol w:w="24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Only an active and programme-eligible OlyLife member may register. Match a normalized email case-insensitively. A successful OLY-01 response returns external_member_id, first_name, last_name,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TLS 1.2+, company_id, UUID request_id, requested_at and HMAC-SHA256 signing over the agreed canonical payload.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HMAC-SHA256,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V2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Support ownership and service levels</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first-line support for member eligibility and commission/top-up approval; VCCHUB owns wallet, card, login/2FA and KYC orchestration, escalating Sumsub/PhotonPay as needed. Proposed response targets: P1 acknowledgement within 30 minutes (24x7), P2 within four business hours and P3 within one business day. Every handoff includes request_id and the relevant system reference.</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support hours, P1/P2/P3 targets, named operational contacts, escalation channels and member-facing OlyLife support details.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8.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matched/not-found/unavailable member checks, address validation, KYC outcomes, ready mapping, approval/rejection/insufficient commission, exactly-once wallet credit, 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1"/>
        <w:keepNext/>
      </w:pPr>
      <w:r>
        <w:t>4. External interface catalogue</w:t>
      </w:r>
    </w:p>
    <w:p>
      <w:r>
        <w:rPr>
          <w:rFonts w:ascii="Calibri" w:hAnsi="Calibri"/>
          <w:i/>
          <w:color w:val="667085"/>
          <w:sz w:val="22"/>
        </w:rPr>
        <w:t>This section separates existing internal Star SaaS Issuing capabilities from the V2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b w:val="0"/>
          <w:color w:val="32936F"/>
          <w:sz w:val="20"/>
        </w:rPr>
        <w:t>Reuse VCCHUB’s cardholder, wallet and virtual/physical card capabilities internally. Add an OlyLife member-validation API consumed by VCCHUB and a VCCHUB wallet-credit/status interface consumed by OlyLife after top-up approval. Card cancellation remains internal to VCCHUB. Invitation and SSO APIs from V1 are not required for the V2 base journey.</w:t>
      </w:r>
    </w:p>
    <w:p>
      <w:pPr>
        <w:pStyle w:val="Heading2"/>
        <w:keepNext/>
      </w:pPr>
      <w:r>
        <w:t>4.1 Journey-to-existing-API coverage</w:t>
      </w:r>
    </w:p>
    <w:tbl>
      <w:tblPr>
        <w:tblStyle w:val="TableGrid"/>
        <w:tblW w:type="dxa" w:w="9360"/>
        <w:jc w:val="left"/>
        <w:tblLayout w:type="fixed"/>
        <w:tblLook w:firstColumn="1" w:firstRow="1" w:lastColumn="0" w:lastRow="0" w:noHBand="0" w:noVBand="1" w:val="04A0"/>
        <w:tblInd w:w="120" w:type="dxa"/>
      </w:tblPr>
      <w:tblGrid>
        <w:gridCol w:w="1900"/>
        <w:gridCol w:w="2400"/>
        <w:gridCol w:w="1700"/>
        <w:gridCol w:w="33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email-based active-member validation and return Member ID, First Name and Last Name.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V2 onboarding, username=email,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after funded-wallet checks only when no active virtual card exists; registered data remains read-only.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using the configured OlyLife office address; no member recipient/address flow.</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and move applicable VCCHUB fees from Merchant balance to Wallet balance.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V2 base flow has no SSO launch.</w:t>
            </w:r>
          </w:p>
        </w:tc>
      </w:tr>
    </w:tbl>
    <w:p>
      <w:pPr>
        <w:spacing w:before="0" w:after="40"/>
      </w:pPr>
    </w:p>
    <w:p>
      <w:pPr>
        <w:pStyle w:val="Heading2"/>
        <w:keepNext/>
      </w:pPr>
      <w:r>
        <w:t>4.2 Applicable VCCHUB wallet and Issuing capability inventory</w:t>
      </w:r>
    </w:p>
    <w:tbl>
      <w:tblPr>
        <w:tblStyle w:val="TableGrid"/>
        <w:tblW w:type="dxa" w:w="9360"/>
        <w:jc w:val="left"/>
        <w:tblLayout w:type="fixed"/>
        <w:tblLook w:firstColumn="1" w:firstRow="1" w:lastColumn="0" w:lastRow="0" w:noHBand="0" w:noVBand="1" w:val="04A0"/>
        <w:tblInd w:w="120" w:type="dxa"/>
      </w:tblPr>
      <w:tblGrid>
        <w:gridCol w:w="1050"/>
        <w:gridCol w:w="1850"/>
        <w:gridCol w:w="2550"/>
        <w:gridCol w:w="3910"/>
      </w:tblGrid>
      <w:tr>
        <w:trPr>
          <w:cantSplit/>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VCCHUB invokes it internally; no OlyLife integration.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Card-fee debit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wallet ledger requires extension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EXTEND so card creation, top-up and servicing fees charged by VCCHUB debit the member Wallet balance instead of Merchant balance. Issuer transaction fees are excluded.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available BIN/program metadata and physical/virtual card configuration.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for virtual and physical issuance after funded-wallet checks, with one active card of each type. List both cards separately and target actions by card ID. Physical fulfilment uses the configured OlyLife office address. Cancellation requires fresh 2FA, Wallet refund and release of only that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fee posting.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shared card limit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reuse if the selected shared-card programme applies; not required for the base member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calls OlyLife only for member validation during onboarding. OlyLife calls VCCHUB only after an approved commission top-up or when account/wallet status must be reconciled. All cardholder, card and wallet-to-card operations remain internal to VCCHUB.</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V2 partner interface catalogue</w:t>
      </w:r>
    </w:p>
    <w:p>
      <w:r>
        <w:rPr>
          <w:rFonts w:ascii="Calibri" w:hAnsi="Calibri"/>
          <w:i/>
          <w:color w:val="667085"/>
          <w:sz w:val="22"/>
        </w:rPr>
        <w:t>The paths below are logical V2 contracts until the parties publish final base URLs and OpenAPI definitions. VCCHUB wallet functions remain under /wallet; OlyLife may rename its provisional member and top-up paths during interface sign-off.</w:t>
      </w:r>
    </w:p>
    <w:tbl>
      <w:tblPr>
        <w:tblStyle w:val="TableGrid"/>
        <w:tblW w:type="dxa" w:w="9360"/>
        <w:jc w:val="left"/>
        <w:tblLayout w:type="fixed"/>
        <w:tblLook w:firstColumn="1" w:firstRow="1" w:lastColumn="0" w:lastRow="0" w:noHBand="0" w:noVBand="1" w:val="04A0"/>
        <w:tblInd w:w="120" w:type="dxa"/>
      </w:tblPr>
      <w:tblGrid>
        <w:gridCol w:w="700"/>
        <w:gridCol w:w="1550"/>
        <w:gridCol w:w="1000"/>
        <w:gridCol w:w="1000"/>
        <w:gridCol w:w="2350"/>
        <w:gridCol w:w="2760"/>
      </w:tblGrid>
      <w:tr>
        <w:trPr>
          <w:cantSplit/>
          <w:tblHeader w:val="true"/>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ID</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Interface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Provider</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Consumer</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Logical endpoint/event</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Purpose</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Validate member</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/v1/members/validate</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active/eligible member by email and return approved member fields.</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/wallet/topup</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an approved commission top-up exactly once; return wallet transaction/status.</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Wallet/account status</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/wallet/status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wallet readiness, wallet ID and top-up eligibility for the member mapping.</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VCC-WH-01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account ready</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{webhook_url}</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Optional push event to establish/update member-to-wallet mapping without showing integration events in the UI.</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Top-up request</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Admin/Support</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/v1/wallet-topups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Create a pending member request; no commission debit or wallet credit.</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OLY-03</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Approve/reject top-up</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internal</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/v1/wallet-topups/{id}/decision</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Record reviewer decision; on approval, debit commission and call VCC-01.</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OLY-04</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Commission reversal</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internal / VCCHUB ops</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/v1/wallet-topups/{id}/reversal</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 an eligible debit if wallet credit cannot complete.</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Pr>
      <w:r>
        <w:t>4.4 OLY-01 — Validate OlyLife member (POST /v1/members/validate)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 body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company_id, email, request_id, requested_at and sign. VCCHUB must not assert active status from browser data.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Matched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code, message and result containing request_id, exists=true, member_status, external_member_id, first_name, last_name, matched_email and approved phone fields.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Not-found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Return a deterministic member-not-found/ineligible code without exposing unrelated member data. VCCHUB shows retry or Contact OlyLife support.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Security / privacy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Server-to-server authentication/signing, rate limiting, audit logging and data minimisation. Do not reveal whether arbitrary emails belong to a member outside the controlled VCCHUB flow.</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Idempotency / errors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Treat request_id as correlation/idempotency key. Define invalid email, member not found, inactive/ineligible, rate limit and service unavailable errors.</w:t>
            </w:r>
          </w:p>
        </w:tc>
      </w:tr>
    </w:tbl>
    <w:p>
      <w:pPr>
        <w:spacing w:before="0" w:after="40"/>
      </w:pPr>
    </w:p>
    <w:p>
      <w:pPr>
        <w:pStyle w:val="Heading2"/>
        <w:keepNext/>
      </w:pPr>
      <w:r>
        <w:t>4.5 VCC-01 — Credit member wallet (POST /wallet/topup)</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Precondition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Approved OlyLife top-up request, successful atomic commission debit, active member-wallet mapping and supported currency.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Request body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company_id, request_id/idempotency_key, external_member_id, wallet_id, amount, currency, olylife_transaction_id, approved_at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Success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code, message and result containing request_id, wallet_transaction_id, status, credited_amount, currency and resulting wallet balance/as-of time.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Exactly-once control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The same request_id must return the original result and must never create a second wallet credit. Resolve pending/unknown outcomes before retrying with a new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Failure / reversal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Return deterministic declined, pending and failed states. If commission was already debited and credit cannot complete, trigger OLY-04 or controlled repair with shared references.</w:t>
            </w:r>
          </w:p>
        </w:tc>
      </w:tr>
    </w:tbl>
    <w:p>
      <w:pPr>
        <w:spacing w:before="0" w:after="40"/>
      </w:pPr>
    </w:p>
    <w:p>
      <w:pPr>
        <w:pStyle w:val="Heading2"/>
        <w:keepNext/>
      </w:pPr>
      <w:r>
        <w:t>4.6 VCC-WH-01 / VCC-02 — Account-ready event and wallet status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Account-ready event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event_id, event_type=wallet_account_ready, external_member_id, vcchub_user_id, cardholder_id, wallet_id, occurred_at, event_version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Status 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company_id, external_member_id or wallet_id, request_id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Status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wallet_status, wallet_id, vcchub_user_id, cardholder_id, topup_eligible and updated_at. Do not return credentials or KYC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Delivery / 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Signed HTTPS event with retry and stable event_id, or idempotent status query. OlyLife stores the mapping before enabling top-up.</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UI rule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The V2 ready page only shows that the wallet is ready and returns the user to VCCHUB sign-in; integration-event details remain backend-only.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OlyLife control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Verify signature/timestamp, process idempotently and do not enable funding for an unverified or ambiguous member-wallet mapping.</w:t>
            </w:r>
          </w:p>
        </w:tc>
      </w:tr>
    </w:tbl>
    <w:p>
      <w:pPr>
        <w:spacing w:before="0" w:after="40"/>
      </w:pPr>
    </w:p>
    <w:p>
      <w:pPr>
        <w:pStyle w:val="Heading2"/>
        <w:keepNext/>
        <w:pageBreakBefore/>
      </w:pPr>
      <w:r>
        <w:t>4.7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4.8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Carry the registered address into the cardholder/card flow, but do not expose editable address fields on V2 card creation.</w:t>
      </w:r>
    </w:p>
    <w:p>
      <w:pPr>
        <w:numPr>
          <w:ilvl w:val="0"/>
          <w:numId w:val="10"/>
        </w:numPr>
      </w:pPr>
      <w:r>
        <w:rPr>
          <w:rFonts w:ascii="Calibri" w:hAnsi="Calibri"/>
          <w:color w:val="182230"/>
          <w:sz w:val="22"/>
        </w:rPr>
        <w:t>PhotonPay issuer: VCCHUB reuses existing virtual/physical issuance and cancellation capabilities. For a V2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V2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4.9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V2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First/Last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member-reference data; do not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V2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V2 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First / Last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into registration read-only as the matched member profile.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V2.</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HMAC/asymmetric signature over raw body plus timestamp; replay window; event ID idempotency; HTTPS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Required for member validation, account-ready/status processing, top-up approval/debit, wallet credit, reversal, card issue, fee posting,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b w:val="0"/>
          <w:color w:val="9B1C1C"/>
          <w:sz w:val="20"/>
        </w:rPr>
        <w:t>The Version 2 demonstration uses Sumsub Sandbox, browser-held demo state, a mock 2FA code (123456) for login and card cancellation, simulated OlyLife approval and a configurable placeholder office address. It illustrates the journey but is not a production identity, ledger, approval or fulfilment implementation.</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continue if required Member ID/name/email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 a second active card of the same type and show one row with independent actions per card. If issue/top-up fails, post neither final debit/credit nor fees, or reverse reservations atomically.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V2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jc w:val="left"/>
        <w:tblLayout w:type="fixed"/>
        <w:tblLook w:firstColumn="1" w:firstRow="1" w:lastColumn="0" w:lastRow="0" w:noHBand="0" w:noVBand="1" w:val="04A0"/>
        <w:tblInd w:w="120" w:type="dxa"/>
      </w:tblPr>
      <w:tblGrid>
        <w:gridCol w:w="1800"/>
        <w:gridCol w:w="1900"/>
        <w:gridCol w:w="56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Approved V2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OLY-01 passes matched/not-found/unavailable tests; Member ID/name carry-over; username=email;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Provisioned Sumsub access; approved identity mapping;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Funding gate; one active virtual plus one active physical card; separate card rows/actions; read-only identity/address; OlyLife-office delivery; wallet-to-card top-up; authenticated cancellation with Wallet refund and type-slot release; Wallet-based fees.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OLY-01 returns active status, Member ID, First Name, Last Name and matched email; registration continues with those fields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1"/>
        <w:keepNext/>
      </w:pPr>
      <w:r>
        <w:t>9. Confirmed decisions and remaining build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Confirmed programme decisions  </w:t>
      </w:r>
      <w:r>
        <w:rPr>
          <w:rFonts w:ascii="Calibri" w:hAnsi="Calibri"/>
          <w:b w:val="0"/>
          <w:color w:val="32936F"/>
          <w:sz w:val="20"/>
        </w:rPr>
        <w:t>PhotonPay remains the issuer. V2 starts in VCCHUB, validates OlyLife membership before registration, collects the member’s full address, and funds wallets only through OlyLife’s approved top-up process. A member may hold one active virtual card and one active physical card, displayed as separate actionable records. Physical cards are sent to the configured OlyLife office address without collecting a member recipient address. Card cancellation is user-accessible in VCCHUB with fresh 2FA; eligible card balance returns to Wallet and only the cancelled card-type slot is released.</w:t>
      </w:r>
    </w:p>
    <w:tbl>
      <w:tblPr>
        <w:tblStyle w:val="TableGrid"/>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production level(s), verification rules, manual review, transliteration/cardholder-name policy, resubmission, retention and access.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Confirmed: one active virtual and one active physical card, separate card rows/actions, and cancellation with fresh 2FA, Wallet refund, permanent Cancelled status and release of only that type slot. Agree processor edge cases, fees and whether card-to-Wallet withdrawal will ever be enabled separately.</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Actual OlyLife office address, authorised change process, delivery fee, courier, tracking, failed delivery, replacement and office receiving owner.</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Support tiers, escalation contacts, monitoring ownership, incident notification, DR/RTO/RPO, audit and reporting cadence.</w:t>
            </w:r>
          </w:p>
        </w:tc>
      </w:tr>
    </w:tbl>
    <w:p>
      <w:pPr>
        <w:spacing w:before="0" w:after="40"/>
      </w:pPr>
    </w:p>
    <w:p>
      <w:pPr>
        <w:pStyle w:val="Heading2"/>
        <w:keepNext/>
      </w:pPr>
      <w:r>
        <w:t>9.1 Immediate next actions</w:t>
      </w:r>
    </w:p>
    <w:p>
      <w:pPr>
        <w:keepLines/>
        <w:spacing w:before="100" w:after="200" w:line="288" w:lineRule="auto"/>
        <w:ind w:left="202" w:right="115"/>
        <w:shd w:fill="F1EFFF"/>
        <w:pBdr>
          <w:left w:val="single" w:sz="18" w:space="8" w:color="6656E8"/>
        </w:pBdr>
      </w:pPr>
      <w:r>
        <w:rPr>
          <w:rFonts w:ascii="Calibri" w:hAnsi="Calibri"/>
          <w:b/>
          <w:color w:val="6656E8"/>
          <w:sz w:val="20"/>
        </w:rPr>
        <w:t xml:space="preserve">Definition of ready  </w:t>
      </w:r>
      <w:r>
        <w:rPr>
          <w:rFonts w:ascii="Calibri" w:hAnsi="Calibri"/>
          <w:b w:val="0"/>
          <w:color w:val="6656E8"/>
          <w:sz w:val="20"/>
        </w:rPr>
        <w:t>V2 development is ready when OLY-01 member validation, account mapping, OlyLife approval/debit, VCCHUB wallet credit/status, Sumsub access, office-address configuration, authenticated card cancellation and acceptance owners are documented and testable.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Publish OLY-01 consumer requirements and VCC-01/02/VCC-WH-01 schemas; implement V2 onboarding, member carry-over, registration address, Sumsub, direct 2FA, read-only card data, one active card per type, separate per-card actions, OlyLife-office physical fulfilment and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Publish OLY-01 with Member ID/First Name/Last Name; approve Sumsub access; implement top-up request/review/debit/reversal; provide the actual office address and facilities/support ownership.</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Run an interface workshop to close identifiers, auth, status/error models, account mapping, wallet-credit idempotency, reversal/reconciliation and support ownership.</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 xml:space="preserve">Handoff checkpoint  </w:t>
      </w:r>
      <w:r>
        <w:rPr>
          <w:rFonts w:ascii="Calibri" w:hAnsi="Calibri"/>
          <w:b w:val="0"/>
          <w:color w:val="2E74B5"/>
          <w:sz w:val="20"/>
        </w:rPr>
        <w:t>The first V2 workshop should close the member-status eligibility rules, OlyLife-to-Sumsub name precedence, account-ready mapping, wallet-credit idempotency/reversal, real OlyLife office address, physical fulfilment controls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num w:numId="10">
    <w:abstractNumId w:val="9"/>
  </w: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Implementation Responsibility Specification - Version 2.1</dc:title>
  <dc:subject>V2 shared-delivery proposals and OlyLife confirmation actions</dc:subject>
  <dc:creator>Star SaaS Limited</dc:creator>
  <cp:keywords>OlyLife, VCCHUB, Version 2, member validation, Sumsub, wallet, card, cancellation, 2FA, KYC, top-up approval, confidential</cp:keywords>
  <dc:description>generated by python-docx</dc:description>
  <cp:lastModifiedBy/>
  <cp:revision>1</cp:revision>
  <dcterms:created xsi:type="dcterms:W3CDTF">2013-12-23T23:15:00Z</dcterms:created>
  <dcterms:modified xsi:type="dcterms:W3CDTF">2013-12-23T23:15:00Z</dcterms:modified>
  <cp:category/>
</cp:coreProperties>
</file>