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t xml:space="preserve"/>
      </w:r>
    </w:p>
    <w:p>
      <w:pPr>
        <w:jc w:val="center"/>
      </w:pPr>
      <w:r>
        <w:rPr>
          <w:rFonts w:ascii="Calibri" w:cs="Calibri" w:eastAsia="Calibri" w:hAnsi="Calibri"/>
          <w:b/>
          <w:bCs/>
          <w:color w:val="FF9900"/>
          <w:spacing w:val="300"/>
          <w:sz w:val="22"/>
          <w:szCs w:val="22"/>
        </w:rPr>
        <w:t xml:space="preserve">CASE STUDY</w:t>
      </w:r>
    </w:p>
    <w:p>
      <w:pPr>
        <w:spacing w:before="80" w:after="0"/>
      </w:pPr>
      <w:r>
        <w:t xml:space="preserve"/>
      </w:r>
    </w:p>
    <w:p>
      <w:pPr>
        <w:jc w:val="center"/>
      </w:pPr>
      <w:r>
        <w:rPr>
          <w:rFonts w:ascii="Georgia" w:cs="Georgia" w:eastAsia="Georgia" w:hAnsi="Georgia"/>
          <w:b/>
          <w:bCs/>
          <w:color w:val="232F3E"/>
          <w:sz w:val="56"/>
          <w:szCs w:val="56"/>
        </w:rPr>
        <w:t xml:space="preserve">AI Personal Analyst Assistant</w:t>
      </w:r>
    </w:p>
    <w:p>
      <w:pPr>
        <w:jc w:val="center"/>
      </w:pPr>
      <w:r>
        <w:rPr>
          <w:rFonts w:ascii="Georgia" w:cs="Georgia" w:eastAsia="Georgia" w:hAnsi="Georgia"/>
          <w:i/>
          <w:iCs/>
          <w:color w:val="146EB4"/>
          <w:sz w:val="28"/>
          <w:szCs w:val="28"/>
        </w:rPr>
        <w:t xml:space="preserve">Integración de IA Generativa en Amazon QuickSight</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9900" w:sz="1"/>
              <w:left w:val="none" w:color="FFFFFF" w:sz="0"/>
              <w:bottom w:val="single" w:color="FF9900" w:sz="1"/>
              <w:right w:val="none" w:color="FFFFFF" w:sz="0"/>
            </w:tcBorders>
            <w:shd w:fill="232F3E" w:val="clear"/>
            <w:tcMar>
              <w:top w:type="dxa" w:w="120"/>
              <w:left w:type="dxa" w:w="140"/>
              <w:bottom w:type="dxa" w:w="120"/>
              <w:right w:type="dxa" w:w="140"/>
            </w:tcMar>
            <w:vAlign w:val="center"/>
          </w:tcPr>
          <w:p>
            <w:pPr>
              <w:jc w:val="center"/>
            </w:pPr>
            <w:r>
              <w:rPr>
                <w:rFonts w:ascii="Georgia" w:cs="Georgia" w:eastAsia="Georgia" w:hAnsi="Georgia"/>
                <w:b/>
                <w:bCs/>
                <w:color w:val="FF9900"/>
                <w:sz w:val="48"/>
                <w:szCs w:val="48"/>
              </w:rPr>
              <w:t xml:space="preserve">92%</w:t>
            </w:r>
          </w:p>
          <w:p>
            <w:pPr>
              <w:jc w:val="center"/>
            </w:pPr>
            <w:r>
              <w:rPr>
                <w:rFonts w:ascii="Calibri" w:cs="Calibri" w:eastAsia="Calibri" w:hAnsi="Calibri"/>
                <w:b/>
                <w:bCs/>
                <w:color w:val="FFFFFF"/>
                <w:sz w:val="18"/>
                <w:szCs w:val="18"/>
              </w:rPr>
              <w:t xml:space="preserve">Reducción de tiempo</w:t>
            </w:r>
          </w:p>
          <w:p>
            <w:pPr>
              <w:jc w:val="center"/>
            </w:pPr>
            <w:r>
              <w:rPr>
                <w:rFonts w:ascii="Calibri" w:cs="Calibri" w:eastAsia="Calibri" w:hAnsi="Calibri"/>
                <w:color w:val="E8ECF0"/>
                <w:sz w:val="16"/>
                <w:szCs w:val="16"/>
              </w:rPr>
              <w:t xml:space="preserve">15–25 min → &lt;2 min</w:t>
            </w:r>
          </w:p>
        </w:tc>
        <w:tc>
          <w:tcPr>
            <w:tcW w:type="dxa" w:w="2340"/>
            <w:tcBorders>
              <w:top w:val="single" w:color="FF9900" w:sz="1"/>
              <w:left w:val="none" w:color="FFFFFF" w:sz="0"/>
              <w:bottom w:val="single" w:color="FF9900" w:sz="1"/>
              <w:right w:val="none" w:color="FFFFFF" w:sz="0"/>
            </w:tcBorders>
            <w:shd w:fill="232F3E" w:val="clear"/>
            <w:tcMar>
              <w:top w:type="dxa" w:w="120"/>
              <w:left w:type="dxa" w:w="140"/>
              <w:bottom w:type="dxa" w:w="120"/>
              <w:right w:type="dxa" w:w="140"/>
            </w:tcMar>
            <w:vAlign w:val="center"/>
          </w:tcPr>
          <w:p>
            <w:pPr>
              <w:jc w:val="center"/>
            </w:pPr>
            <w:r>
              <w:rPr>
                <w:rFonts w:ascii="Georgia" w:cs="Georgia" w:eastAsia="Georgia" w:hAnsi="Georgia"/>
                <w:b/>
                <w:bCs/>
                <w:color w:val="FF9900"/>
                <w:sz w:val="48"/>
                <w:szCs w:val="48"/>
              </w:rPr>
              <w:t xml:space="preserve">3</w:t>
            </w:r>
          </w:p>
          <w:p>
            <w:pPr>
              <w:jc w:val="center"/>
            </w:pPr>
            <w:r>
              <w:rPr>
                <w:rFonts w:ascii="Calibri" w:cs="Calibri" w:eastAsia="Calibri" w:hAnsi="Calibri"/>
                <w:b/>
                <w:bCs/>
                <w:color w:val="FFFFFF"/>
                <w:sz w:val="18"/>
                <w:szCs w:val="18"/>
              </w:rPr>
              <w:t xml:space="preserve">Dashboards integrados</w:t>
            </w:r>
          </w:p>
          <w:p>
            <w:pPr>
              <w:jc w:val="center"/>
            </w:pPr>
            <w:r>
              <w:rPr>
                <w:rFonts w:ascii="Calibri" w:cs="Calibri" w:eastAsia="Calibri" w:hAnsi="Calibri"/>
                <w:color w:val="E8ECF0"/>
                <w:sz w:val="16"/>
                <w:szCs w:val="16"/>
              </w:rPr>
              <w:t xml:space="preserve">CONNECT · Apeth · Compliance</w:t>
            </w:r>
          </w:p>
        </w:tc>
        <w:tc>
          <w:tcPr>
            <w:tcW w:type="dxa" w:w="2340"/>
            <w:tcBorders>
              <w:top w:val="single" w:color="FF9900" w:sz="1"/>
              <w:left w:val="none" w:color="FFFFFF" w:sz="0"/>
              <w:bottom w:val="single" w:color="FF9900" w:sz="1"/>
              <w:right w:val="none" w:color="FFFFFF" w:sz="0"/>
            </w:tcBorders>
            <w:shd w:fill="232F3E" w:val="clear"/>
            <w:tcMar>
              <w:top w:type="dxa" w:w="120"/>
              <w:left w:type="dxa" w:w="140"/>
              <w:bottom w:type="dxa" w:w="120"/>
              <w:right w:type="dxa" w:w="140"/>
            </w:tcMar>
            <w:vAlign w:val="center"/>
          </w:tcPr>
          <w:p>
            <w:pPr>
              <w:jc w:val="center"/>
            </w:pPr>
            <w:r>
              <w:rPr>
                <w:rFonts w:ascii="Georgia" w:cs="Georgia" w:eastAsia="Georgia" w:hAnsi="Georgia"/>
                <w:b/>
                <w:bCs/>
                <w:color w:val="FF9900"/>
                <w:sz w:val="48"/>
                <w:szCs w:val="48"/>
              </w:rPr>
              <w:t xml:space="preserve">4</w:t>
            </w:r>
          </w:p>
          <w:p>
            <w:pPr>
              <w:jc w:val="center"/>
            </w:pPr>
            <w:r>
              <w:rPr>
                <w:rFonts w:ascii="Calibri" w:cs="Calibri" w:eastAsia="Calibri" w:hAnsi="Calibri"/>
                <w:b/>
                <w:bCs/>
                <w:color w:val="FFFFFF"/>
                <w:sz w:val="18"/>
                <w:szCs w:val="18"/>
              </w:rPr>
              <w:t xml:space="preserve">Análisis automatizados</w:t>
            </w:r>
          </w:p>
          <w:p>
            <w:pPr>
              <w:jc w:val="center"/>
            </w:pPr>
            <w:r>
              <w:rPr>
                <w:rFonts w:ascii="Calibri" w:cs="Calibri" w:eastAsia="Calibri" w:hAnsi="Calibri"/>
                <w:color w:val="E8ECF0"/>
                <w:sz w:val="16"/>
                <w:szCs w:val="16"/>
              </w:rPr>
              <w:t xml:space="preserve">Por semana por asociado</w:t>
            </w:r>
          </w:p>
        </w:tc>
        <w:tc>
          <w:tcPr>
            <w:tcW w:type="dxa" w:w="2340"/>
            <w:tcBorders>
              <w:top w:val="single" w:color="FF9900" w:sz="1"/>
              <w:left w:val="none" w:color="FFFFFF" w:sz="0"/>
              <w:bottom w:val="single" w:color="FF9900" w:sz="1"/>
              <w:right w:val="none" w:color="FFFFFF" w:sz="0"/>
            </w:tcBorders>
            <w:shd w:fill="232F3E" w:val="clear"/>
            <w:tcMar>
              <w:top w:type="dxa" w:w="120"/>
              <w:left w:type="dxa" w:w="140"/>
              <w:bottom w:type="dxa" w:w="120"/>
              <w:right w:type="dxa" w:w="140"/>
            </w:tcMar>
            <w:vAlign w:val="center"/>
          </w:tcPr>
          <w:p>
            <w:pPr>
              <w:jc w:val="center"/>
            </w:pPr>
            <w:r>
              <w:rPr>
                <w:rFonts w:ascii="Georgia" w:cs="Georgia" w:eastAsia="Georgia" w:hAnsi="Georgia"/>
                <w:b/>
                <w:bCs/>
                <w:color w:val="FF9900"/>
                <w:sz w:val="48"/>
                <w:szCs w:val="48"/>
              </w:rPr>
              <w:t xml:space="preserve">100%</w:t>
            </w:r>
          </w:p>
          <w:p>
            <w:pPr>
              <w:jc w:val="center"/>
            </w:pPr>
            <w:r>
              <w:rPr>
                <w:rFonts w:ascii="Calibri" w:cs="Calibri" w:eastAsia="Calibri" w:hAnsi="Calibri"/>
                <w:b/>
                <w:bCs/>
                <w:color w:val="FFFFFF"/>
                <w:sz w:val="18"/>
                <w:szCs w:val="18"/>
              </w:rPr>
              <w:t xml:space="preserve">Cobertura de métricas</w:t>
            </w:r>
          </w:p>
          <w:p>
            <w:pPr>
              <w:jc w:val="center"/>
            </w:pPr>
            <w:r>
              <w:rPr>
                <w:rFonts w:ascii="Calibri" w:cs="Calibri" w:eastAsia="Calibri" w:hAnsi="Calibri"/>
                <w:color w:val="E8ECF0"/>
                <w:sz w:val="16"/>
                <w:szCs w:val="16"/>
              </w:rPr>
              <w:t xml:space="preserve">Individual + equipo</w:t>
            </w:r>
          </w:p>
        </w:tc>
      </w:tr>
    </w:tbl>
    <w:p>
      <w:pPr>
        <w:spacing w:before="160" w:after="0"/>
      </w:pPr>
      <w:r>
        <w:t xml:space="preserve"/>
      </w:r>
    </w:p>
    <w:p>
      <w:pPr>
        <w:pBdr>
          <w:top w:val="single" w:color="E8ECF0" w:sz="1"/>
          <w:bottom w:val="single" w:color="E8ECF0" w:sz="1"/>
        </w:pBdr>
        <w:jc w:val="center"/>
      </w:pPr>
      <w:r>
        <w:rPr>
          <w:rFonts w:ascii="Calibri" w:cs="Calibri" w:eastAsia="Calibri" w:hAnsi="Calibri"/>
          <w:color w:val="4A5568"/>
          <w:sz w:val="18"/>
          <w:szCs w:val="18"/>
        </w:rPr>
        <w:t xml:space="preserve">Amazon Global Realty Tech  ·  GO-AI Team  ·  2026</w:t>
      </w:r>
    </w:p>
    <w:p>
      <w:pPr>
        <w:spacing w:before="80" w:after="0"/>
      </w:pPr>
      <w:r>
        <w:t xml:space="preserve"/>
      </w:r>
    </w:p>
    <w:p>
      <w:r>
        <w:br w:type="page"/>
      </w:r>
    </w:p>
    <w:p>
      <w:pPr>
        <w:pBdr>
          <w:bottom w:val="single" w:color="FF9900" w:sz="8" w:space="6"/>
        </w:pBdr>
        <w:spacing w:before="480" w:after="200"/>
      </w:pPr>
      <w:r>
        <w:rPr>
          <w:rFonts w:ascii="Georgia" w:cs="Georgia" w:eastAsia="Georgia" w:hAnsi="Georgia"/>
          <w:b/>
          <w:bCs/>
          <w:color w:val="232F3E"/>
          <w:sz w:val="36"/>
          <w:szCs w:val="36"/>
        </w:rPr>
        <w:t xml:space="preserve">1. Executive Summary</w:t>
      </w:r>
    </w:p>
    <w:p>
      <w:pPr>
        <w:spacing w:before="80" w:after="80"/>
      </w:pPr>
      <w:r>
        <w:rPr>
          <w:rFonts w:ascii="Calibri" w:cs="Calibri" w:eastAsia="Calibri" w:hAnsi="Calibri"/>
          <w:color w:val="4A5568"/>
          <w:sz w:val="22"/>
          <w:szCs w:val="22"/>
        </w:rPr>
        <w:t xml:space="preserve">This case study documents the design and implementation of an AI-powered personal analytics assistant integrated directly into Amazon QuickSight. The solution transforms static operational dashboards into an intelligent, conversational analyst — available on demand for every member of the GO-AI team.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F9900" w:val="clear"/>
          </w:tcPr>
          <w:p/>
        </w:tc>
        <w:tc>
          <w:tcPr>
            <w:tcW w:type="dxa" w:w="9160"/>
            <w:tcBorders>
              <w:top w:val="none" w:color="FFFFFF" w:sz="0"/>
              <w:left w:val="none" w:color="FFFFFF" w:sz="0"/>
              <w:bottom w:val="none" w:color="FFFFFF" w:sz="0"/>
              <w:right w:val="none" w:color="FFFFFF" w:sz="0"/>
            </w:tcBorders>
            <w:shd w:fill="F5F7FA" w:val="clear"/>
            <w:tcMar>
              <w:top w:type="dxa" w:w="120"/>
              <w:left w:type="dxa" w:w="200"/>
              <w:bottom w:type="dxa" w:w="120"/>
              <w:right w:type="dxa" w:w="200"/>
            </w:tcMar>
          </w:tcPr>
          <w:p>
            <w:r>
              <w:rPr>
                <w:rFonts w:ascii="Georgia" w:cs="Georgia" w:eastAsia="Georgia" w:hAnsi="Georgia"/>
                <w:i/>
                <w:iCs/>
                <w:color w:val="232F3E"/>
                <w:sz w:val="22"/>
                <w:szCs w:val="22"/>
              </w:rPr>
              <w:t xml:space="preserve">The assistant eliminates the gap between raw data and actionable decisions, giving each associate the power to understand and improve their own performance autonomously — without depending on a manager to interpret the numbers.</w:t>
            </w:r>
          </w:p>
          <w:p>
            <w:r>
              <w:rPr>
                <w:rFonts w:ascii="Calibri" w:cs="Calibri" w:eastAsia="Calibri" w:hAnsi="Calibri"/>
                <w:b/>
                <w:bCs/>
                <w:color w:val="146EB4"/>
                <w:sz w:val="18"/>
                <w:szCs w:val="18"/>
              </w:rPr>
              <w:t xml:space="preserve">— Project Documentation — GO-AI Team</w:t>
            </w:r>
          </w:p>
        </w:tc>
      </w:tr>
    </w:tbl>
    <w:p>
      <w:pPr>
        <w:spacing w:before="80" w:after="0"/>
      </w:pPr>
      <w:r>
        <w:t xml:space="preserve"/>
      </w:r>
    </w:p>
    <w:p>
      <w:pPr>
        <w:spacing w:before="80" w:after="80"/>
      </w:pPr>
      <w:r>
        <w:rPr>
          <w:rFonts w:ascii="Calibri" w:cs="Calibri" w:eastAsia="Calibri" w:hAnsi="Calibri"/>
          <w:color w:val="4A5568"/>
          <w:sz w:val="22"/>
          <w:szCs w:val="22"/>
        </w:rPr>
        <w:t xml:space="preserve">Before this project, extracting a complete weekly performance view required manually navigating three separate dashboards — a process that took 15 to 25 minutes per associate, per week. The assistant reduces that to under 2 minutes, with structured analysis, visual traffic-light indicators, and concrete improvement recommendations.</w:t>
      </w:r>
    </w:p>
    <w:p>
      <w:pPr>
        <w:spacing w:before="160" w:after="0"/>
      </w:pPr>
      <w:r>
        <w:t xml:space="preserve"/>
      </w:r>
    </w:p>
    <w:p>
      <w:pPr>
        <w:pBdr>
          <w:bottom w:val="single" w:color="FF9900" w:sz="8" w:space="6"/>
        </w:pBdr>
        <w:spacing w:before="480" w:after="200"/>
      </w:pPr>
      <w:r>
        <w:rPr>
          <w:rFonts w:ascii="Georgia" w:cs="Georgia" w:eastAsia="Georgia" w:hAnsi="Georgia"/>
          <w:b/>
          <w:bCs/>
          <w:color w:val="232F3E"/>
          <w:sz w:val="36"/>
          <w:szCs w:val="36"/>
        </w:rPr>
        <w:t xml:space="preserve">2. The Problem</w:t>
      </w:r>
    </w:p>
    <w:p>
      <w:pPr>
        <w:spacing w:before="80" w:after="80"/>
      </w:pPr>
      <w:r>
        <w:rPr>
          <w:rFonts w:ascii="Calibri" w:cs="Calibri" w:eastAsia="Calibri" w:hAnsi="Calibri"/>
          <w:color w:val="4A5568"/>
          <w:sz w:val="22"/>
          <w:szCs w:val="22"/>
        </w:rPr>
        <w:t xml:space="preserve">The GO-AI operations team managed performance across three critical QuickSight dashboards: CONNECT, Apeth Performance, and Connect Compliance. Despite having robust data infrastructure, five operational friction points limited its effectiveness: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32F3E" w:sz="1"/>
              <w:left w:val="single" w:color="232F3E" w:sz="1"/>
              <w:bottom w:val="single" w:color="232F3E" w:sz="1"/>
              <w:right w:val="single" w:color="232F3E" w:sz="1"/>
            </w:tcBorders>
            <w:shd w:fill="232F3E"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w:t>
            </w:r>
          </w:p>
        </w:tc>
        <w:tc>
          <w:tcPr>
            <w:tcW w:type="dxa" w:w="3120"/>
            <w:tcBorders>
              <w:top w:val="single" w:color="232F3E" w:sz="1"/>
              <w:left w:val="single" w:color="232F3E" w:sz="1"/>
              <w:bottom w:val="single" w:color="232F3E" w:sz="1"/>
              <w:right w:val="single" w:color="232F3E" w:sz="1"/>
            </w:tcBorders>
            <w:shd w:fill="232F3E"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Pain Point</w:t>
            </w:r>
          </w:p>
        </w:tc>
        <w:tc>
          <w:tcPr>
            <w:tcW w:type="dxa" w:w="3120"/>
            <w:tcBorders>
              <w:top w:val="single" w:color="232F3E" w:sz="1"/>
              <w:left w:val="single" w:color="232F3E" w:sz="1"/>
              <w:bottom w:val="single" w:color="232F3E" w:sz="1"/>
              <w:right w:val="single" w:color="232F3E" w:sz="1"/>
            </w:tcBorders>
            <w:shd w:fill="232F3E"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Impact</w:t>
            </w:r>
          </w:p>
        </w:tc>
      </w:tr>
      <w:tr>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left"/>
            </w:pPr>
            <w:r>
              <w:rPr>
                <w:rFonts w:ascii="Calibri" w:cs="Calibri" w:eastAsia="Calibri" w:hAnsi="Calibri"/>
                <w:color w:val="4A5568"/>
                <w:sz w:val="20"/>
                <w:szCs w:val="20"/>
              </w:rPr>
              <w:t xml:space="preserve">1</w:t>
            </w:r>
          </w:p>
        </w:tc>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Information fragmentation across 3 dashboards</w:t>
            </w:r>
          </w:p>
        </w:tc>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Manual cross-referencing required every week</w:t>
            </w:r>
          </w:p>
        </w:tc>
      </w:tr>
      <w:tr>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left"/>
            </w:pPr>
            <w:r>
              <w:rPr>
                <w:rFonts w:ascii="Calibri" w:cs="Calibri" w:eastAsia="Calibri" w:hAnsi="Calibri"/>
                <w:color w:val="4A5568"/>
                <w:sz w:val="20"/>
                <w:szCs w:val="20"/>
              </w:rPr>
              <w:t xml:space="preserve">2</w:t>
            </w:r>
          </w:p>
        </w:tc>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No contextual interpretation of metrics</w:t>
            </w:r>
          </w:p>
        </w:tc>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Associates couldn't gauge if a number was good or critical</w:t>
            </w:r>
          </w:p>
        </w:tc>
      </w:tr>
      <w:tr>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left"/>
            </w:pPr>
            <w:r>
              <w:rPr>
                <w:rFonts w:ascii="Calibri" w:cs="Calibri" w:eastAsia="Calibri" w:hAnsi="Calibri"/>
                <w:color w:val="4A5568"/>
                <w:sz w:val="20"/>
                <w:szCs w:val="20"/>
              </w:rPr>
              <w:t xml:space="preserve">3</w:t>
            </w:r>
          </w:p>
        </w:tc>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Defect analysis was entirely manual</w:t>
            </w:r>
          </w:p>
        </w:tc>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Pattern identification took hours, not minutes</w:t>
            </w:r>
          </w:p>
        </w:tc>
      </w:tr>
      <w:tr>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left"/>
            </w:pPr>
            <w:r>
              <w:rPr>
                <w:rFonts w:ascii="Calibri" w:cs="Calibri" w:eastAsia="Calibri" w:hAnsi="Calibri"/>
                <w:color w:val="4A5568"/>
                <w:sz w:val="20"/>
                <w:szCs w:val="20"/>
              </w:rPr>
              <w:t xml:space="preserve">4</w:t>
            </w:r>
          </w:p>
        </w:tc>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No individual actionable follow-up system</w:t>
            </w:r>
          </w:p>
        </w:tc>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Improvement depended solely on manager 1:1 sessions</w:t>
            </w:r>
          </w:p>
        </w:tc>
      </w:tr>
      <w:tr>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left"/>
            </w:pPr>
            <w:r>
              <w:rPr>
                <w:rFonts w:ascii="Calibri" w:cs="Calibri" w:eastAsia="Calibri" w:hAnsi="Calibri"/>
                <w:color w:val="4A5568"/>
                <w:sz w:val="20"/>
                <w:szCs w:val="20"/>
              </w:rPr>
              <w:t xml:space="preserve">5</w:t>
            </w:r>
          </w:p>
        </w:tc>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High barrier to accessing specific data points</w:t>
            </w:r>
          </w:p>
        </w:tc>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Required deep familiarity with QuickSight filters</w:t>
            </w:r>
          </w:p>
        </w:tc>
      </w:tr>
    </w:tbl>
    <w:p>
      <w:pPr>
        <w:spacing w:before="160" w:after="0"/>
      </w:pPr>
      <w:r>
        <w:t xml:space="preserve"/>
      </w:r>
    </w:p>
    <w:p>
      <w:pPr>
        <w:pBdr>
          <w:bottom w:val="single" w:color="FF9900" w:sz="8" w:space="6"/>
        </w:pBdr>
        <w:spacing w:before="480" w:after="200"/>
      </w:pPr>
      <w:r>
        <w:rPr>
          <w:rFonts w:ascii="Georgia" w:cs="Georgia" w:eastAsia="Georgia" w:hAnsi="Georgia"/>
          <w:b/>
          <w:bCs/>
          <w:color w:val="232F3E"/>
          <w:sz w:val="36"/>
          <w:szCs w:val="36"/>
        </w:rPr>
        <w:t xml:space="preserve">3. Solution Architecture</w:t>
      </w:r>
    </w:p>
    <w:p>
      <w:pPr>
        <w:spacing w:before="80" w:after="80"/>
      </w:pPr>
      <w:r>
        <w:rPr>
          <w:rFonts w:ascii="Calibri" w:cs="Calibri" w:eastAsia="Calibri" w:hAnsi="Calibri"/>
          <w:color w:val="4A5568"/>
          <w:sz w:val="22"/>
          <w:szCs w:val="22"/>
        </w:rPr>
        <w:t xml:space="preserve">The solution connects Amazon QuickSight's three operational dashboards to a generative AI layer that interprets, synthesizes, and communicates data in natural language — with structured tables, traffic-light indicators (🟢🟡🔴), and prioritized recommendations.</w:t>
      </w:r>
    </w:p>
    <w:p>
      <w:pPr>
        <w:spacing w:before="80" w:after="0"/>
      </w:pPr>
      <w:r>
        <w:t xml:space="preserve"/>
      </w:r>
    </w:p>
    <w:p>
      <w:pPr>
        <w:spacing w:before="360" w:after="160"/>
      </w:pPr>
      <w:r>
        <w:rPr>
          <w:rFonts w:ascii="Georgia" w:cs="Georgia" w:eastAsia="Georgia" w:hAnsi="Georgia"/>
          <w:b/>
          <w:bCs/>
          <w:color w:val="146EB4"/>
          <w:sz w:val="26"/>
          <w:szCs w:val="26"/>
        </w:rPr>
        <w:t xml:space="preserve">3.1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46EB4" w:sz="1"/>
              <w:left w:val="single" w:color="146EB4" w:sz="1"/>
              <w:bottom w:val="single" w:color="146EB4" w:sz="1"/>
              <w:right w:val="single" w:color="146EB4" w:sz="1"/>
            </w:tcBorders>
            <w:shd w:fill="146EB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Dashboard</w:t>
            </w:r>
          </w:p>
        </w:tc>
        <w:tc>
          <w:tcPr>
            <w:tcW w:type="dxa" w:w="4680"/>
            <w:tcBorders>
              <w:top w:val="single" w:color="146EB4" w:sz="1"/>
              <w:left w:val="single" w:color="146EB4" w:sz="1"/>
              <w:bottom w:val="single" w:color="146EB4" w:sz="1"/>
              <w:right w:val="single" w:color="146EB4" w:sz="1"/>
            </w:tcBorders>
            <w:shd w:fill="146EB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Key Metrics Covered</w:t>
            </w:r>
          </w:p>
        </w:tc>
      </w:tr>
      <w:tr>
        <w:tc>
          <w:tcPr>
            <w:tcW w:type="dxa" w:w="468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left"/>
            </w:pPr>
            <w:r>
              <w:rPr>
                <w:rFonts w:ascii="Calibri" w:cs="Calibri" w:eastAsia="Calibri" w:hAnsi="Calibri"/>
                <w:color w:val="4A5568"/>
                <w:sz w:val="20"/>
                <w:szCs w:val="20"/>
              </w:rPr>
              <w:t xml:space="preserve">CONNECT</w:t>
            </w:r>
          </w:p>
        </w:tc>
        <w:tc>
          <w:tcPr>
            <w:tcW w:type="dxa" w:w="468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Queries, DVs, Real Defects, APL, Real APL, SPL, Disputes, SLA, Root Causes, Wasted Time</w:t>
            </w:r>
          </w:p>
        </w:tc>
      </w:tr>
      <w:tr>
        <w:tc>
          <w:tcPr>
            <w:tcW w:type="dxa" w:w="468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left"/>
            </w:pPr>
            <w:r>
              <w:rPr>
                <w:rFonts w:ascii="Calibri" w:cs="Calibri" w:eastAsia="Calibri" w:hAnsi="Calibri"/>
                <w:color w:val="4A5568"/>
                <w:sz w:val="20"/>
                <w:szCs w:val="20"/>
              </w:rPr>
              <w:t xml:space="preserve">Apeth Performance</w:t>
            </w:r>
          </w:p>
        </w:tc>
        <w:tc>
          <w:tcPr>
            <w:tcW w:type="dxa" w:w="468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Audits, Dispute %, FFR, Accuracy, Borderline %, Takt, PH</w:t>
            </w:r>
          </w:p>
        </w:tc>
      </w:tr>
      <w:tr>
        <w:tc>
          <w:tcPr>
            <w:tcW w:type="dxa" w:w="468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left"/>
            </w:pPr>
            <w:r>
              <w:rPr>
                <w:rFonts w:ascii="Calibri" w:cs="Calibri" w:eastAsia="Calibri" w:hAnsi="Calibri"/>
                <w:color w:val="4A5568"/>
                <w:sz w:val="20"/>
                <w:szCs w:val="20"/>
              </w:rPr>
              <w:t xml:space="preserve">Connect Compliance</w:t>
            </w:r>
          </w:p>
        </w:tc>
        <w:tc>
          <w:tcPr>
            <w:tcW w:type="dxa" w:w="468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Answer Rate, Occupancy, Delivery %, ACW, LLI, ELO, Behaviors, SLA Adherence</w:t>
            </w:r>
          </w:p>
        </w:tc>
      </w:tr>
    </w:tbl>
    <w:p>
      <w:pPr>
        <w:spacing w:before="80" w:after="0"/>
      </w:pPr>
      <w:r>
        <w:t xml:space="preserve"/>
      </w:r>
    </w:p>
    <w:p>
      <w:pPr>
        <w:spacing w:before="360" w:after="160"/>
      </w:pPr>
      <w:r>
        <w:rPr>
          <w:rFonts w:ascii="Georgia" w:cs="Georgia" w:eastAsia="Georgia" w:hAnsi="Georgia"/>
          <w:b/>
          <w:bCs/>
          <w:color w:val="146EB4"/>
          <w:sz w:val="26"/>
          <w:szCs w:val="26"/>
        </w:rPr>
        <w:t xml:space="preserve">3.2 The 4 Core Analysis Modes</w:t>
      </w:r>
    </w:p>
    <w:p>
      <w:pPr>
        <w:spacing w:before="80" w:after="80"/>
      </w:pPr>
      <w:r>
        <w:rPr>
          <w:rFonts w:ascii="Calibri" w:cs="Calibri" w:eastAsia="Calibri" w:hAnsi="Calibri"/>
          <w:color w:val="4A5568"/>
          <w:sz w:val="22"/>
          <w:szCs w:val="22"/>
        </w:rPr>
        <w:t xml:space="preserve">The assistant operates on four structured query modes, designed to cover 100% of individual analysis needs: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46EB4" w:sz="1"/>
              <w:left w:val="single" w:color="146EB4" w:sz="1"/>
              <w:bottom w:val="single" w:color="146EB4" w:sz="1"/>
              <w:right w:val="single" w:color="146EB4" w:sz="1"/>
            </w:tcBorders>
            <w:shd w:fill="146EB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Option</w:t>
            </w:r>
          </w:p>
        </w:tc>
        <w:tc>
          <w:tcPr>
            <w:tcW w:type="dxa" w:w="3120"/>
            <w:tcBorders>
              <w:top w:val="single" w:color="146EB4" w:sz="1"/>
              <w:left w:val="single" w:color="146EB4" w:sz="1"/>
              <w:bottom w:val="single" w:color="146EB4" w:sz="1"/>
              <w:right w:val="single" w:color="146EB4" w:sz="1"/>
            </w:tcBorders>
            <w:shd w:fill="146EB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Query</w:t>
            </w:r>
          </w:p>
        </w:tc>
        <w:tc>
          <w:tcPr>
            <w:tcW w:type="dxa" w:w="3120"/>
            <w:tcBorders>
              <w:top w:val="single" w:color="146EB4" w:sz="1"/>
              <w:left w:val="single" w:color="146EB4" w:sz="1"/>
              <w:bottom w:val="single" w:color="146EB4" w:sz="1"/>
              <w:right w:val="single" w:color="146EB4" w:sz="1"/>
            </w:tcBorders>
            <w:shd w:fill="146EB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Output</w:t>
            </w:r>
          </w:p>
        </w:tc>
      </w:tr>
      <w:tr>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left"/>
            </w:pPr>
            <w:r>
              <w:rPr>
                <w:rFonts w:ascii="Calibri" w:cs="Calibri" w:eastAsia="Calibri" w:hAnsi="Calibri"/>
                <w:color w:val="4A5568"/>
                <w:sz w:val="20"/>
                <w:szCs w:val="20"/>
              </w:rPr>
              <w:t xml:space="preserve">📊 Option 1</w:t>
            </w:r>
          </w:p>
        </w:tc>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View all my key metrics organized</w:t>
            </w:r>
          </w:p>
        </w:tc>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Full semaphore dashboard across all 3 sources</w:t>
            </w:r>
          </w:p>
        </w:tc>
      </w:tr>
      <w:tr>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left"/>
            </w:pPr>
            <w:r>
              <w:rPr>
                <w:rFonts w:ascii="Calibri" w:cs="Calibri" w:eastAsia="Calibri" w:hAnsi="Calibri"/>
                <w:color w:val="4A5568"/>
                <w:sz w:val="20"/>
                <w:szCs w:val="20"/>
              </w:rPr>
              <w:t xml:space="preserve">🎯 Option 2</w:t>
            </w:r>
          </w:p>
        </w:tc>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View my improvement areas this week</w:t>
            </w:r>
          </w:p>
        </w:tc>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Actionable recommendations + WoW comparison</w:t>
            </w:r>
          </w:p>
        </w:tc>
      </w:tr>
      <w:tr>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left"/>
            </w:pPr>
            <w:r>
              <w:rPr>
                <w:rFonts w:ascii="Calibri" w:cs="Calibri" w:eastAsia="Calibri" w:hAnsi="Calibri"/>
                <w:color w:val="4A5568"/>
                <w:sz w:val="20"/>
                <w:szCs w:val="20"/>
              </w:rPr>
              <w:t xml:space="preserve">🔍 Option 3</w:t>
            </w:r>
          </w:p>
        </w:tc>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View complete defect detail</w:t>
            </w:r>
          </w:p>
        </w:tc>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Full defect table + root causes + dispute status</w:t>
            </w:r>
          </w:p>
        </w:tc>
      </w:tr>
      <w:tr>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left"/>
            </w:pPr>
            <w:r>
              <w:rPr>
                <w:rFonts w:ascii="Calibri" w:cs="Calibri" w:eastAsia="Calibri" w:hAnsi="Calibri"/>
                <w:color w:val="4A5568"/>
                <w:sz w:val="20"/>
                <w:szCs w:val="20"/>
              </w:rPr>
              <w:t xml:space="preserve">📈 Option 4</w:t>
            </w:r>
          </w:p>
        </w:tc>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Week-over-week comparison</w:t>
            </w:r>
          </w:p>
        </w:tc>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Trend charts + delta analysis across all metrics</w:t>
            </w:r>
          </w:p>
        </w:tc>
      </w:tr>
    </w:tbl>
    <w:p>
      <w:pPr>
        <w:spacing w:before="80" w:after="0"/>
      </w:pPr>
      <w:r>
        <w:t xml:space="preserve"/>
      </w:r>
    </w:p>
    <w:p>
      <w:pPr>
        <w:spacing w:before="360" w:after="160"/>
      </w:pPr>
      <w:r>
        <w:rPr>
          <w:rFonts w:ascii="Georgia" w:cs="Georgia" w:eastAsia="Georgia" w:hAnsi="Georgia"/>
          <w:b/>
          <w:bCs/>
          <w:color w:val="146EB4"/>
          <w:sz w:val="26"/>
          <w:szCs w:val="26"/>
        </w:rPr>
        <w:t xml:space="preserve">3.3 Prompt Engineering</w:t>
      </w:r>
    </w:p>
    <w:p>
      <w:pPr>
        <w:spacing w:before="80" w:after="80"/>
      </w:pPr>
      <w:r>
        <w:rPr>
          <w:rFonts w:ascii="Calibri" w:cs="Calibri" w:eastAsia="Calibri" w:hAnsi="Calibri"/>
          <w:color w:val="4A5568"/>
          <w:sz w:val="22"/>
          <w:szCs w:val="22"/>
        </w:rPr>
        <w:t xml:space="preserve">Each analysis mode is powered by a carefully engineered master prompt that instructs the AI to:</w:t>
      </w:r>
    </w:p>
    <w:p>
      <w:pPr>
        <w:pStyle w:val="ListParagraph"/>
        <w:numPr>
          <w:ilvl w:val="0"/>
          <w:numId w:val="2"/>
        </w:numPr>
        <w:spacing w:before="60" w:after="60"/>
      </w:pPr>
      <w:r>
        <w:rPr>
          <w:rFonts w:ascii="Calibri" w:cs="Calibri" w:eastAsia="Calibri" w:hAnsi="Calibri"/>
          <w:b w:val="false"/>
          <w:bCs w:val="false"/>
          <w:color w:val="4A5568"/>
          <w:sz w:val="22"/>
          <w:szCs w:val="22"/>
        </w:rPr>
        <w:t xml:space="preserve">Filter data by associate login and specific week</w:t>
      </w:r>
    </w:p>
    <w:p>
      <w:pPr>
        <w:pStyle w:val="ListParagraph"/>
        <w:numPr>
          <w:ilvl w:val="0"/>
          <w:numId w:val="2"/>
        </w:numPr>
        <w:spacing w:before="60" w:after="60"/>
      </w:pPr>
      <w:r>
        <w:rPr>
          <w:rFonts w:ascii="Calibri" w:cs="Calibri" w:eastAsia="Calibri" w:hAnsi="Calibri"/>
          <w:b w:val="false"/>
          <w:bCs w:val="false"/>
          <w:color w:val="4A5568"/>
          <w:sz w:val="22"/>
          <w:szCs w:val="22"/>
        </w:rPr>
        <w:t xml:space="preserve">Apply consistent benchmark thresholds for traffic-light classification</w:t>
      </w:r>
    </w:p>
    <w:p>
      <w:pPr>
        <w:pStyle w:val="ListParagraph"/>
        <w:numPr>
          <w:ilvl w:val="0"/>
          <w:numId w:val="2"/>
        </w:numPr>
        <w:spacing w:before="60" w:after="60"/>
      </w:pPr>
      <w:r>
        <w:rPr>
          <w:rFonts w:ascii="Calibri" w:cs="Calibri" w:eastAsia="Calibri" w:hAnsi="Calibri"/>
          <w:b w:val="false"/>
          <w:bCs w:val="false"/>
          <w:color w:val="4A5568"/>
          <w:sz w:val="22"/>
          <w:szCs w:val="22"/>
        </w:rPr>
        <w:t xml:space="preserve">Generate structured tables with clearly labeled columns</w:t>
      </w:r>
    </w:p>
    <w:p>
      <w:pPr>
        <w:pStyle w:val="ListParagraph"/>
        <w:numPr>
          <w:ilvl w:val="0"/>
          <w:numId w:val="2"/>
        </w:numPr>
        <w:spacing w:before="60" w:after="60"/>
      </w:pPr>
      <w:r>
        <w:rPr>
          <w:rFonts w:ascii="Calibri" w:cs="Calibri" w:eastAsia="Calibri" w:hAnsi="Calibri"/>
          <w:b w:val="false"/>
          <w:bCs w:val="false"/>
          <w:color w:val="4A5568"/>
          <w:sz w:val="22"/>
          <w:szCs w:val="22"/>
        </w:rPr>
        <w:t xml:space="preserve">Identify root cause patterns and rank by frequency</w:t>
      </w:r>
    </w:p>
    <w:p>
      <w:pPr>
        <w:pStyle w:val="ListParagraph"/>
        <w:numPr>
          <w:ilvl w:val="0"/>
          <w:numId w:val="2"/>
        </w:numPr>
        <w:spacing w:before="60" w:after="60"/>
      </w:pPr>
      <w:r>
        <w:rPr>
          <w:rFonts w:ascii="Calibri" w:cs="Calibri" w:eastAsia="Calibri" w:hAnsi="Calibri"/>
          <w:b w:val="false"/>
          <w:bCs w:val="false"/>
          <w:color w:val="4A5568"/>
          <w:sz w:val="22"/>
          <w:szCs w:val="22"/>
        </w:rPr>
        <w:t xml:space="preserve">Always close with 3 prioritized, actionable improvement suggestions</w:t>
      </w:r>
    </w:p>
    <w:p>
      <w:pPr>
        <w:pStyle w:val="ListParagraph"/>
        <w:numPr>
          <w:ilvl w:val="0"/>
          <w:numId w:val="2"/>
        </w:numPr>
        <w:spacing w:before="60" w:after="60"/>
      </w:pPr>
      <w:r>
        <w:rPr>
          <w:rFonts w:ascii="Calibri" w:cs="Calibri" w:eastAsia="Calibri" w:hAnsi="Calibri"/>
          <w:b w:val="false"/>
          <w:bCs w:val="false"/>
          <w:color w:val="4A5568"/>
          <w:sz w:val="22"/>
          <w:szCs w:val="22"/>
        </w:rPr>
        <w:t xml:space="preserve">Proactively flag anomalies with ⚠️ when negative trends are detected</w:t>
      </w:r>
    </w:p>
    <w:p>
      <w:pPr>
        <w:spacing w:before="160" w:after="0"/>
      </w:pPr>
      <w:r>
        <w:t xml:space="preserve"/>
      </w:r>
    </w:p>
    <w:p>
      <w:pPr>
        <w:pBdr>
          <w:bottom w:val="single" w:color="FF9900" w:sz="8" w:space="6"/>
        </w:pBdr>
        <w:spacing w:before="480" w:after="200"/>
      </w:pPr>
      <w:r>
        <w:rPr>
          <w:rFonts w:ascii="Georgia" w:cs="Georgia" w:eastAsia="Georgia" w:hAnsi="Georgia"/>
          <w:b/>
          <w:bCs/>
          <w:color w:val="232F3E"/>
          <w:sz w:val="36"/>
          <w:szCs w:val="36"/>
        </w:rPr>
        <w:t xml:space="preserve">4. Results &amp; Impact</w:t>
      </w:r>
    </w:p>
    <w:p>
      <w:pPr>
        <w:spacing w:before="360" w:after="160"/>
      </w:pPr>
      <w:r>
        <w:rPr>
          <w:rFonts w:ascii="Georgia" w:cs="Georgia" w:eastAsia="Georgia" w:hAnsi="Georgia"/>
          <w:b/>
          <w:bCs/>
          <w:color w:val="146EB4"/>
          <w:sz w:val="26"/>
          <w:szCs w:val="26"/>
        </w:rPr>
        <w:t xml:space="preserve">4.1 Individual Impact — Per Associate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9900" w:sz="1"/>
              <w:left w:val="none" w:color="FFFFFF" w:sz="0"/>
              <w:bottom w:val="single" w:color="FF9900" w:sz="1"/>
              <w:right w:val="none" w:color="FFFFFF" w:sz="0"/>
            </w:tcBorders>
            <w:shd w:fill="232F3E" w:val="clear"/>
            <w:tcMar>
              <w:top w:type="dxa" w:w="120"/>
              <w:left w:type="dxa" w:w="140"/>
              <w:bottom w:type="dxa" w:w="120"/>
              <w:right w:type="dxa" w:w="140"/>
            </w:tcMar>
            <w:vAlign w:val="center"/>
          </w:tcPr>
          <w:p>
            <w:pPr>
              <w:jc w:val="center"/>
            </w:pPr>
            <w:r>
              <w:rPr>
                <w:rFonts w:ascii="Georgia" w:cs="Georgia" w:eastAsia="Georgia" w:hAnsi="Georgia"/>
                <w:b/>
                <w:bCs/>
                <w:color w:val="FF9900"/>
                <w:sz w:val="48"/>
                <w:szCs w:val="48"/>
              </w:rPr>
              <w:t xml:space="preserve">&lt;2 min</w:t>
            </w:r>
          </w:p>
          <w:p>
            <w:pPr>
              <w:jc w:val="center"/>
            </w:pPr>
            <w:r>
              <w:rPr>
                <w:rFonts w:ascii="Calibri" w:cs="Calibri" w:eastAsia="Calibri" w:hAnsi="Calibri"/>
                <w:b/>
                <w:bCs/>
                <w:color w:val="FFFFFF"/>
                <w:sz w:val="18"/>
                <w:szCs w:val="18"/>
              </w:rPr>
              <w:t xml:space="preserve">Full weekly analysis</w:t>
            </w:r>
          </w:p>
          <w:p>
            <w:pPr>
              <w:jc w:val="center"/>
            </w:pPr>
            <w:r>
              <w:rPr>
                <w:rFonts w:ascii="Calibri" w:cs="Calibri" w:eastAsia="Calibri" w:hAnsi="Calibri"/>
                <w:color w:val="E8ECF0"/>
                <w:sz w:val="16"/>
                <w:szCs w:val="16"/>
              </w:rPr>
              <w:t xml:space="preserve">Previously 15–25 min</w:t>
            </w:r>
          </w:p>
        </w:tc>
        <w:tc>
          <w:tcPr>
            <w:tcW w:type="dxa" w:w="3120"/>
            <w:tcBorders>
              <w:top w:val="single" w:color="FF9900" w:sz="1"/>
              <w:left w:val="none" w:color="FFFFFF" w:sz="0"/>
              <w:bottom w:val="single" w:color="FF9900" w:sz="1"/>
              <w:right w:val="none" w:color="FFFFFF" w:sz="0"/>
            </w:tcBorders>
            <w:shd w:fill="232F3E" w:val="clear"/>
            <w:tcMar>
              <w:top w:type="dxa" w:w="120"/>
              <w:left w:type="dxa" w:w="140"/>
              <w:bottom w:type="dxa" w:w="120"/>
              <w:right w:type="dxa" w:w="140"/>
            </w:tcMar>
            <w:vAlign w:val="center"/>
          </w:tcPr>
          <w:p>
            <w:pPr>
              <w:jc w:val="center"/>
            </w:pPr>
            <w:r>
              <w:rPr>
                <w:rFonts w:ascii="Georgia" w:cs="Georgia" w:eastAsia="Georgia" w:hAnsi="Georgia"/>
                <w:b/>
                <w:bCs/>
                <w:color w:val="FF9900"/>
                <w:sz w:val="48"/>
                <w:szCs w:val="48"/>
              </w:rPr>
              <w:t xml:space="preserve">92%</w:t>
            </w:r>
          </w:p>
          <w:p>
            <w:pPr>
              <w:jc w:val="center"/>
            </w:pPr>
            <w:r>
              <w:rPr>
                <w:rFonts w:ascii="Calibri" w:cs="Calibri" w:eastAsia="Calibri" w:hAnsi="Calibri"/>
                <w:b/>
                <w:bCs/>
                <w:color w:val="FFFFFF"/>
                <w:sz w:val="18"/>
                <w:szCs w:val="18"/>
              </w:rPr>
              <w:t xml:space="preserve">Time saved per week</w:t>
            </w:r>
          </w:p>
          <w:p>
            <w:pPr>
              <w:jc w:val="center"/>
            </w:pPr>
            <w:r>
              <w:rPr>
                <w:rFonts w:ascii="Calibri" w:cs="Calibri" w:eastAsia="Calibri" w:hAnsi="Calibri"/>
                <w:color w:val="E8ECF0"/>
                <w:sz w:val="16"/>
                <w:szCs w:val="16"/>
              </w:rPr>
              <w:t xml:space="preserve">Per associate, per session</w:t>
            </w:r>
          </w:p>
        </w:tc>
        <w:tc>
          <w:tcPr>
            <w:tcW w:type="dxa" w:w="3120"/>
            <w:tcBorders>
              <w:top w:val="single" w:color="FF9900" w:sz="1"/>
              <w:left w:val="none" w:color="FFFFFF" w:sz="0"/>
              <w:bottom w:val="single" w:color="FF9900" w:sz="1"/>
              <w:right w:val="none" w:color="FFFFFF" w:sz="0"/>
            </w:tcBorders>
            <w:shd w:fill="232F3E" w:val="clear"/>
            <w:tcMar>
              <w:top w:type="dxa" w:w="120"/>
              <w:left w:type="dxa" w:w="140"/>
              <w:bottom w:type="dxa" w:w="120"/>
              <w:right w:type="dxa" w:w="140"/>
            </w:tcMar>
            <w:vAlign w:val="center"/>
          </w:tcPr>
          <w:p>
            <w:pPr>
              <w:jc w:val="center"/>
            </w:pPr>
            <w:r>
              <w:rPr>
                <w:rFonts w:ascii="Georgia" w:cs="Georgia" w:eastAsia="Georgia" w:hAnsi="Georgia"/>
                <w:b/>
                <w:bCs/>
                <w:color w:val="FF9900"/>
                <w:sz w:val="48"/>
                <w:szCs w:val="48"/>
              </w:rPr>
              <w:t xml:space="preserve">100%</w:t>
            </w:r>
          </w:p>
          <w:p>
            <w:pPr>
              <w:jc w:val="center"/>
            </w:pPr>
            <w:r>
              <w:rPr>
                <w:rFonts w:ascii="Calibri" w:cs="Calibri" w:eastAsia="Calibri" w:hAnsi="Calibri"/>
                <w:b/>
                <w:bCs/>
                <w:color w:val="FFFFFF"/>
                <w:sz w:val="18"/>
                <w:szCs w:val="18"/>
              </w:rPr>
              <w:t xml:space="preserve">Metric coverage</w:t>
            </w:r>
          </w:p>
          <w:p>
            <w:pPr>
              <w:jc w:val="center"/>
            </w:pPr>
            <w:r>
              <w:rPr>
                <w:rFonts w:ascii="Calibri" w:cs="Calibri" w:eastAsia="Calibri" w:hAnsi="Calibri"/>
                <w:color w:val="E8ECF0"/>
                <w:sz w:val="16"/>
                <w:szCs w:val="16"/>
              </w:rPr>
              <w:t xml:space="preserve">All 3 dashboards in one query</w:t>
            </w:r>
          </w:p>
        </w:tc>
      </w:tr>
    </w:tbl>
    <w:p>
      <w:pPr>
        <w:spacing w:before="80" w:after="0"/>
      </w:pPr>
      <w:r>
        <w:t xml:space="preserve"/>
      </w:r>
    </w:p>
    <w:p>
      <w:pPr>
        <w:spacing w:before="80" w:after="80"/>
      </w:pPr>
      <w:r>
        <w:rPr>
          <w:rFonts w:ascii="Calibri" w:cs="Calibri" w:eastAsia="Calibri" w:hAnsi="Calibri"/>
          <w:color w:val="4A5568"/>
          <w:sz w:val="22"/>
          <w:szCs w:val="22"/>
        </w:rPr>
        <w:t xml:space="preserve">In a team of 10 associates, the time savings represent between 130 and 230 minutes recovered per week — from consultation alone. Beyond time, associates gained:</w:t>
      </w:r>
    </w:p>
    <w:p>
      <w:pPr>
        <w:pStyle w:val="ListParagraph"/>
        <w:numPr>
          <w:ilvl w:val="0"/>
          <w:numId w:val="2"/>
        </w:numPr>
        <w:spacing w:before="60" w:after="60"/>
      </w:pPr>
      <w:r>
        <w:rPr>
          <w:rFonts w:ascii="Calibri" w:cs="Calibri" w:eastAsia="Calibri" w:hAnsi="Calibri"/>
          <w:b w:val="false"/>
          <w:bCs w:val="false"/>
          <w:color w:val="4A5568"/>
          <w:sz w:val="22"/>
          <w:szCs w:val="22"/>
        </w:rPr>
        <w:t xml:space="preserve">Instant performance clarity via standardized traffic-light scoring</w:t>
      </w:r>
    </w:p>
    <w:p>
      <w:pPr>
        <w:pStyle w:val="ListParagraph"/>
        <w:numPr>
          <w:ilvl w:val="0"/>
          <w:numId w:val="2"/>
        </w:numPr>
        <w:spacing w:before="60" w:after="60"/>
      </w:pPr>
      <w:r>
        <w:rPr>
          <w:rFonts w:ascii="Calibri" w:cs="Calibri" w:eastAsia="Calibri" w:hAnsi="Calibri"/>
          <w:b w:val="false"/>
          <w:bCs w:val="false"/>
          <w:color w:val="4A5568"/>
          <w:sz w:val="22"/>
          <w:szCs w:val="22"/>
        </w:rPr>
        <w:t xml:space="preserve">Same-week defect pattern identification — before errors accumulate</w:t>
      </w:r>
    </w:p>
    <w:p>
      <w:pPr>
        <w:pStyle w:val="ListParagraph"/>
        <w:numPr>
          <w:ilvl w:val="0"/>
          <w:numId w:val="2"/>
        </w:numPr>
        <w:spacing w:before="60" w:after="60"/>
      </w:pPr>
      <w:r>
        <w:rPr>
          <w:rFonts w:ascii="Calibri" w:cs="Calibri" w:eastAsia="Calibri" w:hAnsi="Calibri"/>
          <w:b w:val="false"/>
          <w:bCs w:val="false"/>
          <w:color w:val="4A5568"/>
          <w:sz w:val="22"/>
          <w:szCs w:val="22"/>
        </w:rPr>
        <w:t xml:space="preserve">Autonomous improvement tracking without waiting for manager feedback</w:t>
      </w:r>
    </w:p>
    <w:p>
      <w:pPr>
        <w:spacing w:before="80" w:after="0"/>
      </w:pPr>
      <w:r>
        <w:t xml:space="preserve"/>
      </w:r>
    </w:p>
    <w:p>
      <w:pPr>
        <w:spacing w:before="360" w:after="160"/>
      </w:pPr>
      <w:r>
        <w:rPr>
          <w:rFonts w:ascii="Georgia" w:cs="Georgia" w:eastAsia="Georgia" w:hAnsi="Georgia"/>
          <w:b/>
          <w:bCs/>
          <w:color w:val="146EB4"/>
          <w:sz w:val="26"/>
          <w:szCs w:val="26"/>
        </w:rPr>
        <w:t xml:space="preserve">4.2 Team Impact — GO-AI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46EB4" w:sz="1"/>
              <w:left w:val="single" w:color="146EB4" w:sz="1"/>
              <w:bottom w:val="single" w:color="146EB4" w:sz="1"/>
              <w:right w:val="single" w:color="146EB4" w:sz="1"/>
            </w:tcBorders>
            <w:shd w:fill="146EB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Dimension</w:t>
            </w:r>
          </w:p>
        </w:tc>
        <w:tc>
          <w:tcPr>
            <w:tcW w:type="dxa" w:w="3120"/>
            <w:tcBorders>
              <w:top w:val="single" w:color="146EB4" w:sz="1"/>
              <w:left w:val="single" w:color="146EB4" w:sz="1"/>
              <w:bottom w:val="single" w:color="146EB4" w:sz="1"/>
              <w:right w:val="single" w:color="146EB4" w:sz="1"/>
            </w:tcBorders>
            <w:shd w:fill="146EB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Before</w:t>
            </w:r>
          </w:p>
        </w:tc>
        <w:tc>
          <w:tcPr>
            <w:tcW w:type="dxa" w:w="3120"/>
            <w:tcBorders>
              <w:top w:val="single" w:color="146EB4" w:sz="1"/>
              <w:left w:val="single" w:color="146EB4" w:sz="1"/>
              <w:bottom w:val="single" w:color="146EB4" w:sz="1"/>
              <w:right w:val="single" w:color="146EB4" w:sz="1"/>
            </w:tcBorders>
            <w:shd w:fill="146EB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After</w:t>
            </w:r>
          </w:p>
        </w:tc>
      </w:tr>
      <w:tr>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left"/>
            </w:pPr>
            <w:r>
              <w:rPr>
                <w:rFonts w:ascii="Calibri" w:cs="Calibri" w:eastAsia="Calibri" w:hAnsi="Calibri"/>
                <w:color w:val="4A5568"/>
                <w:sz w:val="20"/>
                <w:szCs w:val="20"/>
              </w:rPr>
              <w:t xml:space="preserve">Time to get full metrics</w:t>
            </w:r>
          </w:p>
        </w:tc>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15–25 min (3 dashboards manually)</w:t>
            </w:r>
          </w:p>
        </w:tc>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&lt; 2 min (single query)</w:t>
            </w:r>
          </w:p>
        </w:tc>
      </w:tr>
      <w:tr>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left"/>
            </w:pPr>
            <w:r>
              <w:rPr>
                <w:rFonts w:ascii="Calibri" w:cs="Calibri" w:eastAsia="Calibri" w:hAnsi="Calibri"/>
                <w:color w:val="4A5568"/>
                <w:sz w:val="20"/>
                <w:szCs w:val="20"/>
              </w:rPr>
              <w:t xml:space="preserve">Benchmark interpretation</w:t>
            </w:r>
          </w:p>
        </w:tc>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Dependent on individual knowledge</w:t>
            </w:r>
          </w:p>
        </w:tc>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Automatic, standardized semaphore</w:t>
            </w:r>
          </w:p>
        </w:tc>
      </w:tr>
      <w:tr>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left"/>
            </w:pPr>
            <w:r>
              <w:rPr>
                <w:rFonts w:ascii="Calibri" w:cs="Calibri" w:eastAsia="Calibri" w:hAnsi="Calibri"/>
                <w:color w:val="4A5568"/>
                <w:sz w:val="20"/>
                <w:szCs w:val="20"/>
              </w:rPr>
              <w:t xml:space="preserve">Defect analysis</w:t>
            </w:r>
          </w:p>
        </w:tc>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Manual, no root cause grouping</w:t>
            </w:r>
          </w:p>
        </w:tc>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Structured table + automatic patterns</w:t>
            </w:r>
          </w:p>
        </w:tc>
      </w:tr>
      <w:tr>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left"/>
            </w:pPr>
            <w:r>
              <w:rPr>
                <w:rFonts w:ascii="Calibri" w:cs="Calibri" w:eastAsia="Calibri" w:hAnsi="Calibri"/>
                <w:color w:val="4A5568"/>
                <w:sz w:val="20"/>
                <w:szCs w:val="20"/>
              </w:rPr>
              <w:t xml:space="preserve">WoW comparison</w:t>
            </w:r>
          </w:p>
        </w:tc>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Not available without manual effort</w:t>
            </w:r>
          </w:p>
        </w:tc>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Auto-generated on Option 4</w:t>
            </w:r>
          </w:p>
        </w:tc>
      </w:tr>
      <w:tr>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left"/>
            </w:pPr>
            <w:r>
              <w:rPr>
                <w:rFonts w:ascii="Calibri" w:cs="Calibri" w:eastAsia="Calibri" w:hAnsi="Calibri"/>
                <w:color w:val="4A5568"/>
                <w:sz w:val="20"/>
                <w:szCs w:val="20"/>
              </w:rPr>
              <w:t xml:space="preserve">Improvement suggestions</w:t>
            </w:r>
          </w:p>
        </w:tc>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Only in manager sessions</w:t>
            </w:r>
          </w:p>
        </w:tc>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Available anytime (Option 2)</w:t>
            </w:r>
          </w:p>
        </w:tc>
      </w:tr>
      <w:tr>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left"/>
            </w:pPr>
            <w:r>
              <w:rPr>
                <w:rFonts w:ascii="Calibri" w:cs="Calibri" w:eastAsia="Calibri" w:hAnsi="Calibri"/>
                <w:color w:val="4A5568"/>
                <w:sz w:val="20"/>
                <w:szCs w:val="20"/>
              </w:rPr>
              <w:t xml:space="preserve">Data accessibility</w:t>
            </w:r>
          </w:p>
        </w:tc>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Required deep QuickSight navigation</w:t>
            </w:r>
          </w:p>
        </w:tc>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Natural language, zero friction</w:t>
            </w:r>
          </w:p>
        </w:tc>
      </w:tr>
      <w:tr>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left"/>
            </w:pPr>
            <w:r>
              <w:rPr>
                <w:rFonts w:ascii="Calibri" w:cs="Calibri" w:eastAsia="Calibri" w:hAnsi="Calibri"/>
                <w:color w:val="4A5568"/>
                <w:sz w:val="20"/>
                <w:szCs w:val="20"/>
              </w:rPr>
              <w:t xml:space="preserve">Criteria consistency</w:t>
            </w:r>
          </w:p>
        </w:tc>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Variable by person</w:t>
            </w:r>
          </w:p>
        </w:tc>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Standardized for all associates</w:t>
            </w:r>
          </w:p>
        </w:tc>
      </w:tr>
      <w:tr>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left"/>
            </w:pPr>
            <w:r>
              <w:rPr>
                <w:rFonts w:ascii="Calibri" w:cs="Calibri" w:eastAsia="Calibri" w:hAnsi="Calibri"/>
                <w:color w:val="4A5568"/>
                <w:sz w:val="20"/>
                <w:szCs w:val="20"/>
              </w:rPr>
              <w:t xml:space="preserve">Historical access</w:t>
            </w:r>
          </w:p>
        </w:tc>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Limited to current dashboard view</w:t>
            </w:r>
          </w:p>
        </w:tc>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Selectable by specific week</w:t>
            </w:r>
          </w:p>
        </w:tc>
      </w:tr>
    </w:tbl>
    <w:p>
      <w:pPr>
        <w:spacing w:before="80" w:after="0"/>
      </w:pPr>
      <w:r>
        <w:t xml:space="preserve"/>
      </w:r>
    </w:p>
    <w:p>
      <w:pPr>
        <w:spacing w:before="360" w:after="160"/>
      </w:pPr>
      <w:r>
        <w:rPr>
          <w:rFonts w:ascii="Georgia" w:cs="Georgia" w:eastAsia="Georgia" w:hAnsi="Georgia"/>
          <w:b/>
          <w:bCs/>
          <w:color w:val="146EB4"/>
          <w:sz w:val="26"/>
          <w:szCs w:val="26"/>
        </w:rPr>
        <w:t xml:space="preserve">4.3 Organizational Potential</w:t>
      </w:r>
    </w:p>
    <w:p>
      <w:pPr>
        <w:spacing w:before="80" w:after="80"/>
      </w:pPr>
      <w:r>
        <w:rPr>
          <w:rFonts w:ascii="Calibri" w:cs="Calibri" w:eastAsia="Calibri" w:hAnsi="Calibri"/>
          <w:color w:val="4A5568"/>
          <w:sz w:val="22"/>
          <w:szCs w:val="22"/>
        </w:rPr>
        <w:t xml:space="preserve">The architecture is fully replicable. Any team operating with individual + team metric dashboards in QuickSight can adopt this model. The project establishes the foundation for:</w:t>
      </w:r>
    </w:p>
    <w:p>
      <w:pPr>
        <w:pStyle w:val="ListParagraph"/>
        <w:numPr>
          <w:ilvl w:val="0"/>
          <w:numId w:val="2"/>
        </w:numPr>
        <w:spacing w:before="60" w:after="60"/>
      </w:pPr>
      <w:r>
        <w:rPr>
          <w:rFonts w:ascii="Calibri" w:cs="Calibri" w:eastAsia="Calibri" w:hAnsi="Calibri"/>
          <w:b w:val="false"/>
          <w:bCs w:val="false"/>
          <w:color w:val="4A5568"/>
          <w:sz w:val="22"/>
          <w:szCs w:val="22"/>
        </w:rPr>
        <w:t xml:space="preserve">Proactive alerts when a metric falls below benchmark threshold</w:t>
      </w:r>
    </w:p>
    <w:p>
      <w:pPr>
        <w:pStyle w:val="ListParagraph"/>
        <w:numPr>
          <w:ilvl w:val="0"/>
          <w:numId w:val="2"/>
        </w:numPr>
        <w:spacing w:before="60" w:after="60"/>
      </w:pPr>
      <w:r>
        <w:rPr>
          <w:rFonts w:ascii="Calibri" w:cs="Calibri" w:eastAsia="Calibri" w:hAnsi="Calibri"/>
          <w:b w:val="false"/>
          <w:bCs w:val="false"/>
          <w:color w:val="4A5568"/>
          <w:sz w:val="22"/>
          <w:szCs w:val="22"/>
        </w:rPr>
        <w:t xml:space="preserve">Automated weekly reports delivered at the start of each shift</w:t>
      </w:r>
    </w:p>
    <w:p>
      <w:pPr>
        <w:pStyle w:val="ListParagraph"/>
        <w:numPr>
          <w:ilvl w:val="0"/>
          <w:numId w:val="2"/>
        </w:numPr>
        <w:spacing w:before="60" w:after="60"/>
      </w:pPr>
      <w:r>
        <w:rPr>
          <w:rFonts w:ascii="Calibri" w:cs="Calibri" w:eastAsia="Calibri" w:hAnsi="Calibri"/>
          <w:b w:val="false"/>
          <w:bCs w:val="false"/>
          <w:color w:val="4A5568"/>
          <w:sz w:val="22"/>
          <w:szCs w:val="22"/>
        </w:rPr>
        <w:t xml:space="preserve">Predictive trend analysis before issues become performance problems</w:t>
      </w:r>
    </w:p>
    <w:p>
      <w:pPr>
        <w:pStyle w:val="ListParagraph"/>
        <w:numPr>
          <w:ilvl w:val="0"/>
          <w:numId w:val="2"/>
        </w:numPr>
        <w:spacing w:before="60" w:after="60"/>
      </w:pPr>
      <w:r>
        <w:rPr>
          <w:rFonts w:ascii="Calibri" w:cs="Calibri" w:eastAsia="Calibri" w:hAnsi="Calibri"/>
          <w:b w:val="false"/>
          <w:bCs w:val="false"/>
          <w:color w:val="4A5568"/>
          <w:sz w:val="22"/>
          <w:szCs w:val="22"/>
        </w:rPr>
        <w:t xml:space="preserve">Horizontal expansion to other VAR teams within Amazon</w:t>
      </w:r>
    </w:p>
    <w:p>
      <w:pPr>
        <w:spacing w:before="160" w:after="0"/>
      </w:pPr>
      <w:r>
        <w:t xml:space="preserve"/>
      </w:r>
    </w:p>
    <w:p>
      <w:pPr>
        <w:pBdr>
          <w:bottom w:val="single" w:color="FF9900" w:sz="8" w:space="6"/>
        </w:pBdr>
        <w:spacing w:before="480" w:after="200"/>
      </w:pPr>
      <w:r>
        <w:rPr>
          <w:rFonts w:ascii="Georgia" w:cs="Georgia" w:eastAsia="Georgia" w:hAnsi="Georgia"/>
          <w:b/>
          <w:bCs/>
          <w:color w:val="232F3E"/>
          <w:sz w:val="36"/>
          <w:szCs w:val="36"/>
        </w:rPr>
        <w:t xml:space="preserve">5.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32F3E" w:sz="1"/>
              <w:left w:val="single" w:color="232F3E" w:sz="1"/>
              <w:bottom w:val="single" w:color="232F3E" w:sz="1"/>
              <w:right w:val="single" w:color="232F3E" w:sz="1"/>
            </w:tcBorders>
            <w:shd w:fill="232F3E"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Layer</w:t>
            </w:r>
          </w:p>
        </w:tc>
        <w:tc>
          <w:tcPr>
            <w:tcW w:type="dxa" w:w="3120"/>
            <w:tcBorders>
              <w:top w:val="single" w:color="232F3E" w:sz="1"/>
              <w:left w:val="single" w:color="232F3E" w:sz="1"/>
              <w:bottom w:val="single" w:color="232F3E" w:sz="1"/>
              <w:right w:val="single" w:color="232F3E" w:sz="1"/>
            </w:tcBorders>
            <w:shd w:fill="232F3E"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Technology</w:t>
            </w:r>
          </w:p>
        </w:tc>
        <w:tc>
          <w:tcPr>
            <w:tcW w:type="dxa" w:w="3120"/>
            <w:tcBorders>
              <w:top w:val="single" w:color="232F3E" w:sz="1"/>
              <w:left w:val="single" w:color="232F3E" w:sz="1"/>
              <w:bottom w:val="single" w:color="232F3E" w:sz="1"/>
              <w:right w:val="single" w:color="232F3E" w:sz="1"/>
            </w:tcBorders>
            <w:shd w:fill="232F3E"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Role</w:t>
            </w:r>
          </w:p>
        </w:tc>
      </w:tr>
      <w:tr>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left"/>
            </w:pPr>
            <w:r>
              <w:rPr>
                <w:rFonts w:ascii="Calibri" w:cs="Calibri" w:eastAsia="Calibri" w:hAnsi="Calibri"/>
                <w:color w:val="4A5568"/>
                <w:sz w:val="20"/>
                <w:szCs w:val="20"/>
              </w:rPr>
              <w:t xml:space="preserve">Data Warehouse</w:t>
            </w:r>
          </w:p>
        </w:tc>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Amazon QuickSight</w:t>
            </w:r>
          </w:p>
        </w:tc>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Source of truth — 3 operational dashboards</w:t>
            </w:r>
          </w:p>
        </w:tc>
      </w:tr>
      <w:tr>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left"/>
            </w:pPr>
            <w:r>
              <w:rPr>
                <w:rFonts w:ascii="Calibri" w:cs="Calibri" w:eastAsia="Calibri" w:hAnsi="Calibri"/>
                <w:color w:val="4A5568"/>
                <w:sz w:val="20"/>
                <w:szCs w:val="20"/>
              </w:rPr>
              <w:t xml:space="preserve">AI Engine</w:t>
            </w:r>
          </w:p>
        </w:tc>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Generative AI (LLM)</w:t>
            </w:r>
          </w:p>
        </w:tc>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Natural language analysis + structured output generation</w:t>
            </w:r>
          </w:p>
        </w:tc>
      </w:tr>
      <w:tr>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left"/>
            </w:pPr>
            <w:r>
              <w:rPr>
                <w:rFonts w:ascii="Calibri" w:cs="Calibri" w:eastAsia="Calibri" w:hAnsi="Calibri"/>
                <w:color w:val="4A5568"/>
                <w:sz w:val="20"/>
                <w:szCs w:val="20"/>
              </w:rPr>
              <w:t xml:space="preserve">Prompt Architecture</w:t>
            </w:r>
          </w:p>
        </w:tc>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Master Prompt + 4 modes</w:t>
            </w:r>
          </w:p>
        </w:tc>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Controlled, repeatable analysis framework</w:t>
            </w:r>
          </w:p>
        </w:tc>
      </w:tr>
      <w:tr>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left"/>
            </w:pPr>
            <w:r>
              <w:rPr>
                <w:rFonts w:ascii="Calibri" w:cs="Calibri" w:eastAsia="Calibri" w:hAnsi="Calibri"/>
                <w:color w:val="4A5568"/>
                <w:sz w:val="20"/>
                <w:szCs w:val="20"/>
              </w:rPr>
              <w:t xml:space="preserve">Output Format</w:t>
            </w:r>
          </w:p>
        </w:tc>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Structured tables + traffic lights</w:t>
            </w:r>
          </w:p>
        </w:tc>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Consistent, readable, actionable responses</w:t>
            </w:r>
          </w:p>
        </w:tc>
      </w:tr>
      <w:tr>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left"/>
            </w:pPr>
            <w:r>
              <w:rPr>
                <w:rFonts w:ascii="Calibri" w:cs="Calibri" w:eastAsia="Calibri" w:hAnsi="Calibri"/>
                <w:color w:val="4A5568"/>
                <w:sz w:val="20"/>
                <w:szCs w:val="20"/>
              </w:rPr>
              <w:t xml:space="preserve">Access Layer</w:t>
            </w:r>
          </w:p>
        </w:tc>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Chat interface (QuickSight Q)</w:t>
            </w:r>
          </w:p>
        </w:tc>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Zero-friction query entry for all associates</w:t>
            </w:r>
          </w:p>
        </w:tc>
      </w:tr>
    </w:tbl>
    <w:p>
      <w:pPr>
        <w:spacing w:before="160" w:after="0"/>
      </w:pPr>
      <w:r>
        <w:t xml:space="preserve"/>
      </w:r>
    </w:p>
    <w:p>
      <w:pPr>
        <w:pBdr>
          <w:bottom w:val="single" w:color="FF9900" w:sz="8" w:space="6"/>
        </w:pBdr>
        <w:spacing w:before="480" w:after="200"/>
      </w:pPr>
      <w:r>
        <w:rPr>
          <w:rFonts w:ascii="Georgia" w:cs="Georgia" w:eastAsia="Georgia" w:hAnsi="Georgia"/>
          <w:b/>
          <w:bCs/>
          <w:color w:val="232F3E"/>
          <w:sz w:val="36"/>
          <w:szCs w:val="36"/>
        </w:rPr>
        <w:t xml:space="preserve">6.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KPI</w:t>
            </w:r>
          </w:p>
        </w:tc>
        <w:tc>
          <w:tcPr>
            <w:tcW w:type="dxa" w:w="312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Measurement Method</w:t>
            </w:r>
          </w:p>
        </w:tc>
        <w:tc>
          <w:tcPr>
            <w:tcW w:type="dxa" w:w="3120"/>
            <w:tcBorders>
              <w:top w:val="single" w:color="2D7D46" w:sz="1"/>
              <w:left w:val="single" w:color="2D7D46" w:sz="1"/>
              <w:bottom w:val="single" w:color="2D7D46" w:sz="1"/>
              <w:right w:val="single" w:color="2D7D46" w:sz="1"/>
            </w:tcBorders>
            <w:shd w:fill="2D7D4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Target</w:t>
            </w:r>
          </w:p>
        </w:tc>
      </w:tr>
      <w:tr>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left"/>
            </w:pPr>
            <w:r>
              <w:rPr>
                <w:rFonts w:ascii="Calibri" w:cs="Calibri" w:eastAsia="Calibri" w:hAnsi="Calibri"/>
                <w:color w:val="4A5568"/>
                <w:sz w:val="20"/>
                <w:szCs w:val="20"/>
              </w:rPr>
              <w:t xml:space="preserve">Reduction in metric query time</w:t>
            </w:r>
          </w:p>
        </w:tc>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Before/after survey comparison</w:t>
            </w:r>
          </w:p>
        </w:tc>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 70% reduction</w:t>
            </w:r>
          </w:p>
        </w:tc>
      </w:tr>
      <w:tr>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left"/>
            </w:pPr>
            <w:r>
              <w:rPr>
                <w:rFonts w:ascii="Calibri" w:cs="Calibri" w:eastAsia="Calibri" w:hAnsi="Calibri"/>
                <w:color w:val="4A5568"/>
                <w:sz w:val="20"/>
                <w:szCs w:val="20"/>
              </w:rPr>
              <w:t xml:space="preserve">Team adoption rate</w:t>
            </w:r>
          </w:p>
        </w:tc>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 using it ≥ 1x/week</w:t>
            </w:r>
          </w:p>
        </w:tc>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 80% within 4 weeks</w:t>
            </w:r>
          </w:p>
        </w:tc>
      </w:tr>
      <w:tr>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left"/>
            </w:pPr>
            <w:r>
              <w:rPr>
                <w:rFonts w:ascii="Calibri" w:cs="Calibri" w:eastAsia="Calibri" w:hAnsi="Calibri"/>
                <w:color w:val="4A5568"/>
                <w:sz w:val="20"/>
                <w:szCs w:val="20"/>
              </w:rPr>
              <w:t xml:space="preserve">Real APL improvement</w:t>
            </w:r>
          </w:p>
        </w:tc>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WoW trend since implementation</w:t>
            </w:r>
          </w:p>
        </w:tc>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Positive trend over 3 weeks</w:t>
            </w:r>
          </w:p>
        </w:tc>
      </w:tr>
      <w:tr>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left"/>
            </w:pPr>
            <w:r>
              <w:rPr>
                <w:rFonts w:ascii="Calibri" w:cs="Calibri" w:eastAsia="Calibri" w:hAnsi="Calibri"/>
                <w:color w:val="4A5568"/>
                <w:sz w:val="20"/>
                <w:szCs w:val="20"/>
              </w:rPr>
              <w:t xml:space="preserve">Reduction in ad-hoc metric questions to manager</w:t>
            </w:r>
          </w:p>
        </w:tc>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Manager query count tracking</w:t>
            </w:r>
          </w:p>
        </w:tc>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 50% reduction</w:t>
            </w:r>
          </w:p>
        </w:tc>
      </w:tr>
      <w:tr>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left"/>
            </w:pPr>
            <w:r>
              <w:rPr>
                <w:rFonts w:ascii="Calibri" w:cs="Calibri" w:eastAsia="Calibri" w:hAnsi="Calibri"/>
                <w:color w:val="4A5568"/>
                <w:sz w:val="20"/>
                <w:szCs w:val="20"/>
              </w:rPr>
              <w:t xml:space="preserve">Associate satisfaction score</w:t>
            </w:r>
          </w:p>
        </w:tc>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Monthly survey (1–5 scale)</w:t>
            </w:r>
          </w:p>
        </w:tc>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 4.0 average</w:t>
            </w:r>
          </w:p>
        </w:tc>
      </w:tr>
    </w:tbl>
    <w:p>
      <w:pPr>
        <w:spacing w:before="160" w:after="0"/>
      </w:pPr>
      <w:r>
        <w:t xml:space="preserve"/>
      </w:r>
    </w:p>
    <w:p>
      <w:pPr>
        <w:pBdr>
          <w:bottom w:val="single" w:color="FF9900" w:sz="8" w:space="6"/>
        </w:pBdr>
        <w:spacing w:before="480" w:after="200"/>
      </w:pPr>
      <w:r>
        <w:rPr>
          <w:rFonts w:ascii="Georgia" w:cs="Georgia" w:eastAsia="Georgia" w:hAnsi="Georgia"/>
          <w:b/>
          <w:bCs/>
          <w:color w:val="232F3E"/>
          <w:sz w:val="36"/>
          <w:szCs w:val="36"/>
        </w:rPr>
        <w:t xml:space="preserve">7. Evolution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46EB4" w:sz="1"/>
              <w:left w:val="single" w:color="146EB4" w:sz="1"/>
              <w:bottom w:val="single" w:color="146EB4" w:sz="1"/>
              <w:right w:val="single" w:color="146EB4" w:sz="1"/>
            </w:tcBorders>
            <w:shd w:fill="146EB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Phase</w:t>
            </w:r>
          </w:p>
        </w:tc>
        <w:tc>
          <w:tcPr>
            <w:tcW w:type="dxa" w:w="3120"/>
            <w:tcBorders>
              <w:top w:val="single" w:color="146EB4" w:sz="1"/>
              <w:left w:val="single" w:color="146EB4" w:sz="1"/>
              <w:bottom w:val="single" w:color="146EB4" w:sz="1"/>
              <w:right w:val="single" w:color="146EB4" w:sz="1"/>
            </w:tcBorders>
            <w:shd w:fill="146EB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Milestone</w:t>
            </w:r>
          </w:p>
        </w:tc>
        <w:tc>
          <w:tcPr>
            <w:tcW w:type="dxa" w:w="3120"/>
            <w:tcBorders>
              <w:top w:val="single" w:color="146EB4" w:sz="1"/>
              <w:left w:val="single" w:color="146EB4" w:sz="1"/>
              <w:bottom w:val="single" w:color="146EB4" w:sz="1"/>
              <w:right w:val="single" w:color="146EB4" w:sz="1"/>
            </w:tcBorders>
            <w:shd w:fill="146EB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Status</w:t>
            </w:r>
          </w:p>
        </w:tc>
      </w:tr>
      <w:tr>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left"/>
            </w:pPr>
            <w:r>
              <w:rPr>
                <w:rFonts w:ascii="Calibri" w:cs="Calibri" w:eastAsia="Calibri" w:hAnsi="Calibri"/>
                <w:color w:val="4A5568"/>
                <w:sz w:val="20"/>
                <w:szCs w:val="20"/>
              </w:rPr>
              <w:t xml:space="preserve">Phase 1 — MVP</w:t>
            </w:r>
          </w:p>
        </w:tc>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Base prompts defined + dashboard integration</w:t>
            </w:r>
          </w:p>
        </w:tc>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 Complete</w:t>
            </w:r>
          </w:p>
        </w:tc>
      </w:tr>
      <w:tr>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left"/>
            </w:pPr>
            <w:r>
              <w:rPr>
                <w:rFonts w:ascii="Calibri" w:cs="Calibri" w:eastAsia="Calibri" w:hAnsi="Calibri"/>
                <w:color w:val="4A5568"/>
                <w:sz w:val="20"/>
                <w:szCs w:val="20"/>
              </w:rPr>
              <w:t xml:space="preserve">Phase 2 — Stabilization</w:t>
            </w:r>
          </w:p>
        </w:tc>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GO-AI team testing + benchmark calibration</w:t>
            </w:r>
          </w:p>
        </w:tc>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 In Progress</w:t>
            </w:r>
          </w:p>
        </w:tc>
      </w:tr>
      <w:tr>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left"/>
            </w:pPr>
            <w:r>
              <w:rPr>
                <w:rFonts w:ascii="Calibri" w:cs="Calibri" w:eastAsia="Calibri" w:hAnsi="Calibri"/>
                <w:color w:val="4A5568"/>
                <w:sz w:val="20"/>
                <w:szCs w:val="20"/>
              </w:rPr>
              <w:t xml:space="preserve">Phase 3 — Expansion</w:t>
            </w:r>
          </w:p>
        </w:tc>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Team-level aggregated view + proactive metric alerts</w:t>
            </w:r>
          </w:p>
        </w:tc>
        <w:tc>
          <w:tcPr>
            <w:tcW w:type="dxa" w:w="3120"/>
            <w:tcBorders>
              <w:top w:val="single" w:color="E8ECF0" w:sz="1"/>
              <w:left w:val="single" w:color="E8ECF0" w:sz="1"/>
              <w:bottom w:val="single" w:color="E8ECF0" w:sz="1"/>
              <w:right w:val="single" w:color="E8ECF0" w:sz="1"/>
            </w:tcBorders>
            <w:shd w:fill="FFFFFF"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 Planned Q2 2026</w:t>
            </w:r>
          </w:p>
        </w:tc>
      </w:tr>
      <w:tr>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left"/>
            </w:pPr>
            <w:r>
              <w:rPr>
                <w:rFonts w:ascii="Calibri" w:cs="Calibri" w:eastAsia="Calibri" w:hAnsi="Calibri"/>
                <w:color w:val="4A5568"/>
                <w:sz w:val="20"/>
                <w:szCs w:val="20"/>
              </w:rPr>
              <w:t xml:space="preserve">Phase 4 — Scale</w:t>
            </w:r>
          </w:p>
        </w:tc>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Replication to other VAR teams + predictive analytics</w:t>
            </w:r>
          </w:p>
        </w:tc>
        <w:tc>
          <w:tcPr>
            <w:tcW w:type="dxa" w:w="3120"/>
            <w:tcBorders>
              <w:top w:val="single" w:color="E8ECF0" w:sz="1"/>
              <w:left w:val="single" w:color="E8ECF0" w:sz="1"/>
              <w:bottom w:val="single" w:color="E8ECF0" w:sz="1"/>
              <w:right w:val="single" w:color="E8ECF0" w:sz="1"/>
            </w:tcBorders>
            <w:shd w:fill="F5F7FA" w:val="clear"/>
            <w:tcMar>
              <w:top w:type="dxa" w:w="80"/>
              <w:left w:type="dxa" w:w="120"/>
              <w:bottom w:type="dxa" w:w="80"/>
              <w:right w:type="dxa" w:w="120"/>
            </w:tcMar>
          </w:tcPr>
          <w:p>
            <w:pPr>
              <w:jc w:val="center"/>
            </w:pPr>
            <w:r>
              <w:rPr>
                <w:rFonts w:ascii="Calibri" w:cs="Calibri" w:eastAsia="Calibri" w:hAnsi="Calibri"/>
                <w:color w:val="4A5568"/>
                <w:sz w:val="20"/>
                <w:szCs w:val="20"/>
              </w:rPr>
              <w:t xml:space="preserve">📅 Planned Q3 2026</w:t>
            </w:r>
          </w:p>
        </w:tc>
      </w:tr>
    </w:tbl>
    <w:p>
      <w:pPr>
        <w:spacing w:before="160" w:after="0"/>
      </w:pPr>
      <w:r>
        <w:t xml:space="preserve"/>
      </w:r>
    </w:p>
    <w:p>
      <w:pPr>
        <w:pBdr>
          <w:bottom w:val="single" w:color="FF9900" w:sz="8" w:space="6"/>
        </w:pBdr>
        <w:spacing w:before="480" w:after="200"/>
      </w:pPr>
      <w:r>
        <w:rPr>
          <w:rFonts w:ascii="Georgia" w:cs="Georgia" w:eastAsia="Georgia" w:hAnsi="Georgia"/>
          <w:b/>
          <w:bCs/>
          <w:color w:val="232F3E"/>
          <w:sz w:val="36"/>
          <w:szCs w:val="36"/>
        </w:rPr>
        <w:t xml:space="preserve">8. Key Learnings</w:t>
      </w:r>
    </w:p>
    <w:p>
      <w:pPr>
        <w:spacing w:before="80" w:after="80"/>
      </w:pPr>
      <w:r>
        <w:rPr>
          <w:rFonts w:ascii="Calibri" w:cs="Calibri" w:eastAsia="Calibri" w:hAnsi="Calibri"/>
          <w:color w:val="4A5568"/>
          <w:sz w:val="22"/>
          <w:szCs w:val="22"/>
        </w:rPr>
        <w:t xml:space="preserve">This project demonstrated three critical principles for successful AI integration in operations:</w:t>
      </w:r>
    </w:p>
    <w:p>
      <w:pPr>
        <w:spacing w:before="80" w:after="0"/>
      </w:pPr>
      <w:r>
        <w:t xml:space="preserve"/>
      </w:r>
    </w:p>
    <w:p>
      <w:pPr>
        <w:spacing w:before="240" w:after="100"/>
      </w:pPr>
      <w:r>
        <w:rPr>
          <w:rFonts w:ascii="Calibri" w:cs="Calibri" w:eastAsia="Calibri" w:hAnsi="Calibri"/>
          <w:b/>
          <w:bCs/>
          <w:color w:val="232F3E"/>
          <w:sz w:val="22"/>
          <w:szCs w:val="22"/>
        </w:rPr>
        <w:t xml:space="preserve">1. Structure first, AI second</w:t>
      </w:r>
    </w:p>
    <w:p>
      <w:pPr>
        <w:spacing w:before="80" w:after="80"/>
      </w:pPr>
      <w:r>
        <w:rPr>
          <w:rFonts w:ascii="Calibri" w:cs="Calibri" w:eastAsia="Calibri" w:hAnsi="Calibri"/>
          <w:color w:val="4A5568"/>
          <w:sz w:val="22"/>
          <w:szCs w:val="22"/>
        </w:rPr>
        <w:t xml:space="preserve">The quality of the output depended entirely on the quality of the prompt architecture. Investing time in defining the 4 analysis modes and their exact output format was the most high-leverage work of the project.</w:t>
      </w:r>
    </w:p>
    <w:p>
      <w:pPr>
        <w:spacing w:before="80" w:after="0"/>
      </w:pPr>
      <w:r>
        <w:t xml:space="preserve"/>
      </w:r>
    </w:p>
    <w:p>
      <w:pPr>
        <w:spacing w:before="240" w:after="100"/>
      </w:pPr>
      <w:r>
        <w:rPr>
          <w:rFonts w:ascii="Calibri" w:cs="Calibri" w:eastAsia="Calibri" w:hAnsi="Calibri"/>
          <w:b/>
          <w:bCs/>
          <w:color w:val="232F3E"/>
          <w:sz w:val="22"/>
          <w:szCs w:val="22"/>
        </w:rPr>
        <w:t xml:space="preserve">2. Democratize before you automate</w:t>
      </w:r>
    </w:p>
    <w:p>
      <w:pPr>
        <w:spacing w:before="80" w:after="80"/>
      </w:pPr>
      <w:r>
        <w:rPr>
          <w:rFonts w:ascii="Calibri" w:cs="Calibri" w:eastAsia="Calibri" w:hAnsi="Calibri"/>
          <w:color w:val="4A5568"/>
          <w:sz w:val="22"/>
          <w:szCs w:val="22"/>
        </w:rPr>
        <w:t xml:space="preserve">The biggest win was not efficiency — it was access. Associates who had never deeply used QuickSight could now get the same analytical depth as power users. Equalization of access is the most underrated impact of AI tools in operations.</w:t>
      </w:r>
    </w:p>
    <w:p>
      <w:pPr>
        <w:spacing w:before="80" w:after="0"/>
      </w:pPr>
      <w:r>
        <w:t xml:space="preserve"/>
      </w:r>
    </w:p>
    <w:p>
      <w:pPr>
        <w:spacing w:before="240" w:after="100"/>
      </w:pPr>
      <w:r>
        <w:rPr>
          <w:rFonts w:ascii="Calibri" w:cs="Calibri" w:eastAsia="Calibri" w:hAnsi="Calibri"/>
          <w:b/>
          <w:bCs/>
          <w:color w:val="232F3E"/>
          <w:sz w:val="22"/>
          <w:szCs w:val="22"/>
        </w:rPr>
        <w:t xml:space="preserve">3. Actionability over completeness</w:t>
      </w:r>
    </w:p>
    <w:p>
      <w:pPr>
        <w:spacing w:before="80" w:after="80"/>
      </w:pPr>
      <w:r>
        <w:rPr>
          <w:rFonts w:ascii="Calibri" w:cs="Calibri" w:eastAsia="Calibri" w:hAnsi="Calibri"/>
          <w:color w:val="4A5568"/>
          <w:sz w:val="22"/>
          <w:szCs w:val="22"/>
        </w:rPr>
        <w:t xml:space="preserve">Early versions surfaced all available data. The final design prioritized 3 concrete suggestions per session over exhaustive reporting — because people act on recommendations, not on data dumps.</w:t>
      </w:r>
    </w:p>
    <w:p>
      <w:pPr>
        <w:spacing w:before="160" w:after="0"/>
      </w:pPr>
      <w:r>
        <w:t xml:space="preserve"/>
      </w:r>
    </w:p>
    <w:p>
      <w:pPr>
        <w:pBdr>
          <w:top w:val="single" w:color="FF9900" w:sz="8" w:space="8"/>
        </w:pBdr>
        <w:spacing w:before="400" w:after="200"/>
        <w:jc w:val="center"/>
      </w:pPr>
      <w:r>
        <w:rPr>
          <w:rFonts w:ascii="Georgia" w:cs="Georgia" w:eastAsia="Georgia" w:hAnsi="Georgia"/>
          <w:i/>
          <w:iCs/>
          <w:color w:val="232F3E"/>
          <w:sz w:val="24"/>
          <w:szCs w:val="24"/>
        </w:rPr>
        <w:t xml:space="preserve">This project is not just a technical integration —</w:t>
      </w:r>
    </w:p>
    <w:p>
      <w:pPr>
        <w:jc w:val="center"/>
      </w:pPr>
      <w:r>
        <w:rPr>
          <w:rFonts w:ascii="Georgia" w:cs="Georgia" w:eastAsia="Georgia" w:hAnsi="Georgia"/>
          <w:i/>
          <w:iCs/>
          <w:color w:val="146EB4"/>
          <w:sz w:val="24"/>
          <w:szCs w:val="24"/>
        </w:rPr>
        <w:t xml:space="preserve">it's a new relationship between a team and its data.</w:t>
      </w:r>
    </w:p>
    <w:p>
      <w:pPr>
        <w:spacing w:before="80" w:after="0"/>
      </w:pPr>
      <w:r>
        <w:t xml:space="preserve"/>
      </w:r>
    </w:p>
    <w:p>
      <w:pPr>
        <w:jc w:val="center"/>
      </w:pPr>
      <w:r>
        <w:rPr>
          <w:rFonts w:ascii="Calibri" w:cs="Calibri" w:eastAsia="Calibri" w:hAnsi="Calibri"/>
          <w:color w:val="4A5568"/>
          <w:sz w:val="16"/>
          <w:szCs w:val="16"/>
        </w:rPr>
        <w:t xml:space="preserve">Portfolio Version  ·  Data confidentiality applied  ·  2026</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CF0" w:sz="4" w:space="4"/>
      </w:pBdr>
    </w:pPr>
    <w:r>
      <w:rPr>
        <w:rFonts w:ascii="Calibri" w:cs="Calibri" w:eastAsia="Calibri" w:hAnsi="Calibri"/>
        <w:color w:val="4A5568"/>
        <w:sz w:val="16"/>
        <w:szCs w:val="16"/>
      </w:rPr>
      <w:t xml:space="preserve">Confidential — Portfolio Version  |  </w:t>
    </w:r>
    <w:r>
      <w:rPr>
        <w:rFonts w:ascii="Calibri" w:cs="Calibri" w:eastAsia="Calibri" w:hAnsi="Calibri"/>
        <w:color w:val="4A5568"/>
        <w:sz w:val="16"/>
        <w:szCs w:val="16"/>
      </w:rPr>
      <w:t xml:space="preserve">Page </w:t>
    </w:r>
    <w:r>
      <w:rPr>
        <w:rFonts w:ascii="Calibri" w:cs="Calibri" w:eastAsia="Calibri" w:hAnsi="Calibri"/>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0"/>
      <w:gridCol w:w="3720"/>
    </w:tblGrid>
    <w:tr>
      <w:tc>
        <w:tcPr>
          <w:tcW w:type="dxa" w:w="6000"/>
          <w:tcBorders>
            <w:top w:val="none" w:color="FFFFFF" w:sz="0"/>
            <w:left w:val="none" w:color="FFFFFF" w:sz="0"/>
            <w:bottom w:val="single" w:color="FF9900" w:sz="1"/>
            <w:right w:val="none" w:color="FFFFFF" w:sz="0"/>
          </w:tcBorders>
        </w:tcPr>
        <w:p>
          <w:r>
            <w:rPr>
              <w:rFonts w:ascii="Calibri" w:cs="Calibri" w:eastAsia="Calibri" w:hAnsi="Calibri"/>
              <w:b/>
              <w:bCs/>
              <w:color w:val="232F3E"/>
              <w:sz w:val="18"/>
              <w:szCs w:val="18"/>
            </w:rPr>
            <w:t xml:space="preserve">AI Personal Analyst Assistant  |  Case Study</w:t>
          </w:r>
        </w:p>
      </w:tc>
      <w:tc>
        <w:tcPr>
          <w:tcW w:type="dxa" w:w="3720"/>
          <w:tcBorders>
            <w:top w:val="none" w:color="FFFFFF" w:sz="0"/>
            <w:left w:val="none" w:color="FFFFFF" w:sz="0"/>
            <w:bottom w:val="single" w:color="FF9900" w:sz="1"/>
            <w:right w:val="none" w:color="FFFFFF" w:sz="0"/>
          </w:tcBorders>
        </w:tcPr>
        <w:p>
          <w:pPr>
            <w:jc w:val="right"/>
          </w:pPr>
          <w:r>
            <w:rPr>
              <w:rFonts w:ascii="Calibri" w:cs="Calibri" w:eastAsia="Calibri" w:hAnsi="Calibri"/>
              <w:color w:val="4A5568"/>
              <w:sz w:val="18"/>
              <w:szCs w:val="18"/>
            </w:rPr>
            <w:t xml:space="preserve">Data Analytics &amp; AI Engineering</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2026-03-17T21:36:25.040Z</dcterms:created>
  <dcterms:modified xsi:type="dcterms:W3CDTF">2026-03-17T21:36:25.041Z</dcterms:modified>
</cp:coreProperties>
</file>

<file path=docProps/custom.xml><?xml version="1.0" encoding="utf-8"?>
<Properties xmlns="http://schemas.openxmlformats.org/officeDocument/2006/custom-properties" xmlns:vt="http://schemas.openxmlformats.org/officeDocument/2006/docPropsVTypes"/>
</file>